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1F" w:rsidRDefault="00DD111F" w:rsidP="00DD111F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STATEMENT OF BASIS</w:t>
      </w:r>
    </w:p>
    <w:p w:rsidR="00DD111F" w:rsidRDefault="00DD111F" w:rsidP="004565E0">
      <w:pPr>
        <w:tabs>
          <w:tab w:val="center" w:pos="4680"/>
        </w:tabs>
        <w:jc w:val="center"/>
        <w:rPr>
          <w:b/>
          <w:bCs/>
        </w:rPr>
      </w:pPr>
    </w:p>
    <w:p w:rsidR="00873171" w:rsidRDefault="00873171" w:rsidP="004565E0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GROUND WATER DISCHARGE PERMIT</w:t>
      </w:r>
      <w:r w:rsidR="004565E0">
        <w:rPr>
          <w:b/>
          <w:bCs/>
        </w:rPr>
        <w:t xml:space="preserve"> </w:t>
      </w:r>
      <w:r w:rsidR="002861C0" w:rsidRPr="001B325C">
        <w:rPr>
          <w:b/>
          <w:bCs/>
        </w:rPr>
        <w:t>UGW</w:t>
      </w:r>
      <w:r w:rsidR="002861C0">
        <w:rPr>
          <w:b/>
          <w:bCs/>
        </w:rPr>
        <w:t>270011</w:t>
      </w:r>
    </w:p>
    <w:p w:rsidR="00D26336" w:rsidRPr="001B325C" w:rsidRDefault="00D26336" w:rsidP="00D26336">
      <w:pPr>
        <w:tabs>
          <w:tab w:val="center" w:pos="4680"/>
        </w:tabs>
        <w:jc w:val="center"/>
      </w:pPr>
    </w:p>
    <w:p w:rsidR="006738AF" w:rsidRPr="001B325C" w:rsidRDefault="002861C0" w:rsidP="006738AF">
      <w:pPr>
        <w:tabs>
          <w:tab w:val="center" w:pos="4680"/>
        </w:tabs>
        <w:jc w:val="center"/>
        <w:rPr>
          <w:bCs/>
          <w:szCs w:val="22"/>
        </w:rPr>
      </w:pPr>
      <w:r>
        <w:rPr>
          <w:bCs/>
          <w:szCs w:val="22"/>
        </w:rPr>
        <w:t>Christensen</w:t>
      </w:r>
      <w:r w:rsidR="009A4297">
        <w:rPr>
          <w:bCs/>
          <w:szCs w:val="22"/>
        </w:rPr>
        <w:t xml:space="preserve"> Finisher </w:t>
      </w:r>
      <w:r w:rsidR="005E116E">
        <w:rPr>
          <w:bCs/>
          <w:szCs w:val="22"/>
        </w:rPr>
        <w:t>Farm</w:t>
      </w:r>
    </w:p>
    <w:p w:rsidR="006738AF" w:rsidRPr="00E51ECC" w:rsidRDefault="00E51ECC" w:rsidP="006738AF">
      <w:pPr>
        <w:tabs>
          <w:tab w:val="center" w:pos="4680"/>
        </w:tabs>
        <w:jc w:val="center"/>
        <w:rPr>
          <w:bCs/>
          <w:szCs w:val="22"/>
        </w:rPr>
      </w:pPr>
      <w:r w:rsidRPr="00E51ECC">
        <w:rPr>
          <w:bCs/>
          <w:szCs w:val="22"/>
        </w:rPr>
        <w:t>7</w:t>
      </w:r>
      <w:r w:rsidR="00887D6D" w:rsidRPr="00E51ECC">
        <w:rPr>
          <w:bCs/>
          <w:szCs w:val="22"/>
        </w:rPr>
        <w:t xml:space="preserve">.6 miles </w:t>
      </w:r>
      <w:r w:rsidRPr="00E51ECC">
        <w:rPr>
          <w:bCs/>
          <w:szCs w:val="22"/>
        </w:rPr>
        <w:t>Northw</w:t>
      </w:r>
      <w:bookmarkStart w:id="0" w:name="_GoBack"/>
      <w:bookmarkEnd w:id="0"/>
      <w:r w:rsidRPr="00E51ECC">
        <w:rPr>
          <w:bCs/>
          <w:szCs w:val="22"/>
        </w:rPr>
        <w:t>est</w:t>
      </w:r>
      <w:r w:rsidR="00887D6D" w:rsidRPr="00E51ECC">
        <w:rPr>
          <w:bCs/>
          <w:szCs w:val="22"/>
        </w:rPr>
        <w:t xml:space="preserve"> of </w:t>
      </w:r>
      <w:r w:rsidRPr="00E51ECC">
        <w:rPr>
          <w:bCs/>
          <w:szCs w:val="22"/>
        </w:rPr>
        <w:t>Fillmore</w:t>
      </w:r>
    </w:p>
    <w:p w:rsidR="006738AF" w:rsidRPr="001B325C" w:rsidRDefault="002861C0" w:rsidP="006738AF">
      <w:pPr>
        <w:tabs>
          <w:tab w:val="center" w:pos="4680"/>
        </w:tabs>
        <w:jc w:val="center"/>
        <w:rPr>
          <w:bCs/>
          <w:szCs w:val="22"/>
        </w:rPr>
      </w:pPr>
      <w:r w:rsidRPr="00E51ECC">
        <w:rPr>
          <w:bCs/>
          <w:szCs w:val="22"/>
        </w:rPr>
        <w:t>Millard</w:t>
      </w:r>
      <w:r w:rsidR="00887D6D" w:rsidRPr="00E51ECC">
        <w:rPr>
          <w:bCs/>
          <w:szCs w:val="22"/>
        </w:rPr>
        <w:t xml:space="preserve"> County, Utah</w:t>
      </w:r>
    </w:p>
    <w:p w:rsidR="00E378D4" w:rsidRPr="001B325C" w:rsidRDefault="00E378D4" w:rsidP="00D26336">
      <w:pPr>
        <w:tabs>
          <w:tab w:val="center" w:pos="4680"/>
        </w:tabs>
        <w:jc w:val="center"/>
        <w:rPr>
          <w:b/>
          <w:bCs/>
        </w:rPr>
      </w:pPr>
    </w:p>
    <w:p w:rsidR="00E378D4" w:rsidRPr="001B325C" w:rsidRDefault="002861C0" w:rsidP="00D26336">
      <w:pPr>
        <w:tabs>
          <w:tab w:val="center" w:pos="4680"/>
        </w:tabs>
        <w:jc w:val="center"/>
      </w:pPr>
      <w:r>
        <w:rPr>
          <w:bCs/>
        </w:rPr>
        <w:t>February</w:t>
      </w:r>
      <w:r w:rsidR="00E378D4" w:rsidRPr="001B325C">
        <w:rPr>
          <w:b/>
          <w:bCs/>
        </w:rPr>
        <w:t xml:space="preserve"> </w:t>
      </w:r>
      <w:r w:rsidR="00E378D4" w:rsidRPr="00887D6D">
        <w:rPr>
          <w:bCs/>
        </w:rPr>
        <w:t>20</w:t>
      </w:r>
      <w:r w:rsidR="00BA6762" w:rsidRPr="00887D6D">
        <w:rPr>
          <w:bCs/>
        </w:rPr>
        <w:t>1</w:t>
      </w:r>
      <w:r>
        <w:rPr>
          <w:bCs/>
        </w:rPr>
        <w:t>8</w:t>
      </w:r>
    </w:p>
    <w:p w:rsidR="00060B93" w:rsidRPr="00D82F3E" w:rsidRDefault="00060B93" w:rsidP="00873171">
      <w:pPr>
        <w:rPr>
          <w:color w:val="FFC000"/>
          <w:u w:val="single"/>
        </w:rPr>
      </w:pPr>
    </w:p>
    <w:p w:rsidR="00B717B4" w:rsidRDefault="00B717B4" w:rsidP="00B717B4">
      <w:pPr>
        <w:rPr>
          <w:b/>
          <w:bCs/>
        </w:rPr>
      </w:pPr>
      <w:r w:rsidRPr="00FB72FE">
        <w:rPr>
          <w:b/>
          <w:bCs/>
        </w:rPr>
        <w:t>Introduction</w:t>
      </w:r>
    </w:p>
    <w:p w:rsidR="00B717B4" w:rsidRDefault="00B717B4" w:rsidP="00B717B4">
      <w:pPr>
        <w:rPr>
          <w:b/>
          <w:bCs/>
        </w:rPr>
      </w:pPr>
    </w:p>
    <w:p w:rsidR="00B717B4" w:rsidRPr="006D44F9" w:rsidRDefault="00B717B4" w:rsidP="00B717B4">
      <w:pPr>
        <w:rPr>
          <w:rFonts w:cs="Calibri"/>
        </w:rPr>
      </w:pPr>
      <w:r w:rsidRPr="006D44F9">
        <w:rPr>
          <w:rFonts w:cs="Calibri"/>
        </w:rPr>
        <w:t>The</w:t>
      </w:r>
      <w:r>
        <w:rPr>
          <w:rFonts w:cs="Calibri"/>
        </w:rPr>
        <w:t xml:space="preserve"> Division of Water Quality (DWQ) </w:t>
      </w:r>
      <w:r w:rsidRPr="006D44F9">
        <w:rPr>
          <w:rFonts w:cs="Calibri"/>
        </w:rPr>
        <w:t>under the authority of the Utah Ground Water Quality Protection Rules</w:t>
      </w:r>
      <w:r>
        <w:rPr>
          <w:rStyle w:val="FootnoteReference"/>
          <w:rFonts w:cs="Calibri"/>
        </w:rPr>
        <w:footnoteReference w:id="1"/>
      </w:r>
      <w:r w:rsidRPr="006D44F9">
        <w:rPr>
          <w:rFonts w:cs="Calibri"/>
        </w:rPr>
        <w:t xml:space="preserve"> </w:t>
      </w:r>
      <w:r>
        <w:rPr>
          <w:rFonts w:cs="Calibri"/>
        </w:rPr>
        <w:t xml:space="preserve">(Ground Water Rules) </w:t>
      </w:r>
      <w:r w:rsidRPr="006D44F9">
        <w:rPr>
          <w:rFonts w:cs="Calibri"/>
        </w:rPr>
        <w:t>issues ground water discharge permits to facilities which have a potential to discharge contaminants to ground water</w:t>
      </w:r>
      <w:r>
        <w:rPr>
          <w:rStyle w:val="FootnoteReference"/>
        </w:rPr>
        <w:footnoteReference w:id="2"/>
      </w:r>
      <w:r w:rsidRPr="006D44F9">
        <w:rPr>
          <w:rFonts w:cs="Calibri"/>
        </w:rPr>
        <w:t xml:space="preserve">.  As defined by the </w:t>
      </w:r>
      <w:r>
        <w:rPr>
          <w:rFonts w:cs="Calibri"/>
        </w:rPr>
        <w:t xml:space="preserve">Ground Water Rules, </w:t>
      </w:r>
      <w:r w:rsidRPr="006D44F9">
        <w:rPr>
          <w:rFonts w:cs="Calibri"/>
        </w:rPr>
        <w:t>such facilities include</w:t>
      </w:r>
      <w:r>
        <w:rPr>
          <w:rFonts w:cs="Calibri"/>
        </w:rPr>
        <w:t xml:space="preserve"> </w:t>
      </w:r>
      <w:r w:rsidRPr="006D44F9">
        <w:rPr>
          <w:rFonts w:cs="Calibri"/>
        </w:rPr>
        <w:t>mining</w:t>
      </w:r>
      <w:r w:rsidRPr="00E77C10">
        <w:rPr>
          <w:rFonts w:cs="Calibri"/>
        </w:rPr>
        <w:t xml:space="preserve"> </w:t>
      </w:r>
      <w:r w:rsidRPr="006D44F9">
        <w:rPr>
          <w:rFonts w:cs="Calibri"/>
        </w:rPr>
        <w:t>operations</w:t>
      </w:r>
      <w:r>
        <w:rPr>
          <w:rFonts w:cs="Calibri"/>
        </w:rPr>
        <w:t>.</w:t>
      </w:r>
      <w:r>
        <w:rPr>
          <w:rStyle w:val="FootnoteReference"/>
          <w:rFonts w:cs="Calibri"/>
        </w:rPr>
        <w:footnoteReference w:id="3"/>
      </w:r>
      <w:r w:rsidRPr="00E77C10">
        <w:rPr>
          <w:rFonts w:cs="Calibri"/>
        </w:rPr>
        <w:t xml:space="preserve"> </w:t>
      </w:r>
      <w:r w:rsidRPr="006D44F9">
        <w:rPr>
          <w:rFonts w:cs="Calibri"/>
        </w:rPr>
        <w:t xml:space="preserve">The </w:t>
      </w:r>
      <w:r>
        <w:rPr>
          <w:rFonts w:cs="Calibri"/>
        </w:rPr>
        <w:t xml:space="preserve">Ground Water </w:t>
      </w:r>
      <w:r w:rsidRPr="006D44F9">
        <w:rPr>
          <w:rFonts w:cs="Calibri"/>
        </w:rPr>
        <w:t xml:space="preserve">Rules are based on an anti-degradation strategy for ground water protection as opposed to non-degradation; therefore, discharge of contaminants to ground water may be allowed provided that current and future beneficial uses of the ground water are not impaired and the other requirements of </w:t>
      </w:r>
      <w:r>
        <w:rPr>
          <w:rFonts w:cs="Calibri"/>
        </w:rPr>
        <w:t xml:space="preserve">Rule </w:t>
      </w:r>
      <w:r w:rsidRPr="006D44F9">
        <w:rPr>
          <w:rFonts w:cs="Calibri"/>
        </w:rPr>
        <w:t>317-6-6.4.A are met.</w:t>
      </w:r>
      <w:r>
        <w:rPr>
          <w:rStyle w:val="FootnoteReference"/>
          <w:rFonts w:cs="Calibri"/>
        </w:rPr>
        <w:footnoteReference w:id="4"/>
      </w:r>
      <w:r w:rsidRPr="006D44F9">
        <w:rPr>
          <w:rFonts w:cs="Calibri"/>
        </w:rPr>
        <w:t xml:space="preserve">  Following this strategy, ground water is divided into classes based on its quality</w:t>
      </w:r>
      <w:r>
        <w:rPr>
          <w:rStyle w:val="FootnoteReference"/>
          <w:rFonts w:cs="Calibri"/>
        </w:rPr>
        <w:footnoteReference w:id="5"/>
      </w:r>
      <w:r w:rsidRPr="006D44F9">
        <w:rPr>
          <w:rFonts w:cs="Calibri"/>
        </w:rPr>
        <w:t>; and higher-quality ground water is given greater protection</w:t>
      </w:r>
      <w:r>
        <w:rPr>
          <w:rStyle w:val="FootnoteReference"/>
          <w:rFonts w:cs="Calibri"/>
        </w:rPr>
        <w:footnoteReference w:id="6"/>
      </w:r>
      <w:r w:rsidRPr="006D44F9">
        <w:rPr>
          <w:rFonts w:cs="Calibri"/>
        </w:rPr>
        <w:t xml:space="preserve"> due to the greater potential for beneficial uses. </w:t>
      </w:r>
    </w:p>
    <w:p w:rsidR="00B717B4" w:rsidRPr="006D44F9" w:rsidRDefault="00B717B4" w:rsidP="00B717B4">
      <w:pPr>
        <w:rPr>
          <w:rFonts w:cs="Calibri"/>
        </w:rPr>
      </w:pPr>
    </w:p>
    <w:p w:rsidR="00B717B4" w:rsidRPr="006D44F9" w:rsidRDefault="00B717B4" w:rsidP="00B717B4">
      <w:pPr>
        <w:rPr>
          <w:rFonts w:cs="Calibri"/>
        </w:rPr>
      </w:pPr>
      <w:r w:rsidRPr="006D44F9">
        <w:rPr>
          <w:rFonts w:cs="Calibri"/>
        </w:rPr>
        <w:t>Under R</w:t>
      </w:r>
      <w:r>
        <w:rPr>
          <w:rFonts w:cs="Calibri"/>
        </w:rPr>
        <w:t xml:space="preserve">ule </w:t>
      </w:r>
      <w:r w:rsidRPr="006D44F9">
        <w:rPr>
          <w:rFonts w:cs="Calibri"/>
        </w:rPr>
        <w:t xml:space="preserve">317-6, </w:t>
      </w:r>
      <w:r w:rsidR="000B5722">
        <w:rPr>
          <w:rFonts w:cs="Calibri"/>
        </w:rPr>
        <w:t xml:space="preserve">Christensen </w:t>
      </w:r>
      <w:r w:rsidR="000D2CC3">
        <w:rPr>
          <w:rFonts w:cs="Calibri"/>
        </w:rPr>
        <w:t>Finishing Farm</w:t>
      </w:r>
      <w:r>
        <w:rPr>
          <w:rFonts w:cs="Calibri"/>
        </w:rPr>
        <w:t xml:space="preserve"> has requested </w:t>
      </w:r>
      <w:r w:rsidR="000D2CC3">
        <w:rPr>
          <w:rFonts w:cs="Calibri"/>
        </w:rPr>
        <w:t xml:space="preserve">a </w:t>
      </w:r>
      <w:r>
        <w:rPr>
          <w:rFonts w:cs="Calibri"/>
        </w:rPr>
        <w:t>ground water discharge permit (Permit).</w:t>
      </w:r>
      <w:r w:rsidRPr="006D44F9">
        <w:rPr>
          <w:rFonts w:cs="Calibri"/>
        </w:rPr>
        <w:t xml:space="preserve"> DWQ </w:t>
      </w:r>
      <w:r>
        <w:rPr>
          <w:rFonts w:cs="Calibri"/>
        </w:rPr>
        <w:t xml:space="preserve">has </w:t>
      </w:r>
      <w:r w:rsidRPr="006D44F9">
        <w:rPr>
          <w:rFonts w:cs="Calibri"/>
        </w:rPr>
        <w:t xml:space="preserve">developed permit conditions consistent with R317-6 and appropriate to the nature of the </w:t>
      </w:r>
      <w:r w:rsidR="000D2CC3">
        <w:rPr>
          <w:rFonts w:cs="Calibri"/>
        </w:rPr>
        <w:t>operations</w:t>
      </w:r>
      <w:r w:rsidRPr="006D44F9">
        <w:rPr>
          <w:rFonts w:cs="Calibri"/>
        </w:rPr>
        <w:t>,</w:t>
      </w:r>
      <w:r>
        <w:rPr>
          <w:rFonts w:cs="Calibri"/>
        </w:rPr>
        <w:t xml:space="preserve"> maintenance, best available</w:t>
      </w:r>
      <w:r w:rsidRPr="006D44F9">
        <w:rPr>
          <w:rFonts w:cs="Calibri"/>
        </w:rPr>
        <w:t xml:space="preserve"> technology</w:t>
      </w:r>
      <w:r>
        <w:rPr>
          <w:rStyle w:val="FootnoteReference"/>
        </w:rPr>
        <w:footnoteReference w:id="7"/>
      </w:r>
      <w:r>
        <w:rPr>
          <w:rFonts w:cs="Calibri"/>
        </w:rPr>
        <w:t xml:space="preserve"> (BAT)</w:t>
      </w:r>
      <w:r w:rsidRPr="006D44F9">
        <w:rPr>
          <w:rFonts w:cs="Calibri"/>
        </w:rPr>
        <w:t xml:space="preserve"> and the hydrogeologic and climatic conditions of the site, to insure that the operation would not contaminate ground water.  </w:t>
      </w:r>
    </w:p>
    <w:p w:rsidR="00B717B4" w:rsidRDefault="00B717B4" w:rsidP="008D5186">
      <w:pPr>
        <w:rPr>
          <w:b/>
        </w:rPr>
      </w:pPr>
    </w:p>
    <w:p w:rsidR="00B717B4" w:rsidRDefault="00B717B4" w:rsidP="00B717B4">
      <w:pPr>
        <w:widowControl/>
        <w:tabs>
          <w:tab w:val="left" w:pos="-1440"/>
        </w:tabs>
        <w:rPr>
          <w:b/>
        </w:rPr>
      </w:pPr>
      <w:r>
        <w:rPr>
          <w:b/>
        </w:rPr>
        <w:t>Basis for Permit Issuance</w:t>
      </w:r>
    </w:p>
    <w:p w:rsidR="00B717B4" w:rsidRPr="00EE06D5" w:rsidRDefault="00B717B4" w:rsidP="00B717B4">
      <w:pPr>
        <w:widowControl/>
        <w:tabs>
          <w:tab w:val="left" w:pos="-1440"/>
        </w:tabs>
        <w:rPr>
          <w:b/>
          <w:sz w:val="16"/>
          <w:szCs w:val="16"/>
        </w:rPr>
      </w:pPr>
    </w:p>
    <w:p w:rsidR="00B717B4" w:rsidRPr="006D44F9" w:rsidRDefault="00B717B4" w:rsidP="00B717B4">
      <w:pPr>
        <w:rPr>
          <w:rFonts w:cs="Calibri"/>
        </w:rPr>
      </w:pPr>
      <w:r w:rsidRPr="006D44F9">
        <w:rPr>
          <w:rFonts w:cs="Calibri"/>
        </w:rPr>
        <w:t xml:space="preserve">Under </w:t>
      </w:r>
      <w:r>
        <w:rPr>
          <w:rFonts w:cs="Calibri"/>
        </w:rPr>
        <w:t xml:space="preserve">Rule </w:t>
      </w:r>
      <w:r w:rsidRPr="006D44F9">
        <w:rPr>
          <w:rFonts w:cs="Calibri"/>
        </w:rPr>
        <w:t>317-6-6.4A, DWQ may issue a ground water discharge permit if:</w:t>
      </w:r>
    </w:p>
    <w:p w:rsidR="00B717B4" w:rsidRPr="006D44F9" w:rsidRDefault="00B717B4" w:rsidP="00B717B4">
      <w:pPr>
        <w:rPr>
          <w:rFonts w:cs="Calibri"/>
        </w:rPr>
      </w:pPr>
    </w:p>
    <w:p w:rsidR="00B717B4" w:rsidRDefault="00B717B4" w:rsidP="00B717B4">
      <w:pPr>
        <w:widowControl/>
        <w:numPr>
          <w:ilvl w:val="0"/>
          <w:numId w:val="11"/>
        </w:numPr>
        <w:autoSpaceDE/>
        <w:autoSpaceDN/>
        <w:adjustRightInd/>
        <w:spacing w:after="120"/>
        <w:ind w:left="1440"/>
        <w:jc w:val="left"/>
        <w:rPr>
          <w:rFonts w:cs="Calibri"/>
        </w:rPr>
      </w:pPr>
      <w:r w:rsidRPr="006D44F9">
        <w:rPr>
          <w:rFonts w:cs="Calibri"/>
        </w:rPr>
        <w:t>The applicant demonstrates that the applicable class TDS limits, ground water quality standards protection levels and permit limits established under R317-6-6.4E will be met;</w:t>
      </w:r>
    </w:p>
    <w:p w:rsidR="00B717B4" w:rsidRDefault="00B717B4" w:rsidP="00B717B4">
      <w:pPr>
        <w:widowControl/>
        <w:numPr>
          <w:ilvl w:val="0"/>
          <w:numId w:val="11"/>
        </w:numPr>
        <w:autoSpaceDE/>
        <w:autoSpaceDN/>
        <w:adjustRightInd/>
        <w:spacing w:after="120"/>
        <w:ind w:left="1440"/>
        <w:jc w:val="left"/>
        <w:rPr>
          <w:rFonts w:cs="Calibri"/>
        </w:rPr>
      </w:pPr>
      <w:r w:rsidRPr="006D44F9">
        <w:rPr>
          <w:rFonts w:cs="Calibri"/>
        </w:rPr>
        <w:t>The monitoring plan, sampling and reporting requirements are adequate to determine compliance with applicable requirements;</w:t>
      </w:r>
    </w:p>
    <w:p w:rsidR="00B717B4" w:rsidRDefault="00B717B4" w:rsidP="00B717B4">
      <w:pPr>
        <w:widowControl/>
        <w:numPr>
          <w:ilvl w:val="0"/>
          <w:numId w:val="11"/>
        </w:numPr>
        <w:autoSpaceDE/>
        <w:autoSpaceDN/>
        <w:adjustRightInd/>
        <w:spacing w:after="120"/>
        <w:ind w:left="1440"/>
        <w:jc w:val="left"/>
        <w:rPr>
          <w:rFonts w:cs="Calibri"/>
        </w:rPr>
      </w:pPr>
      <w:r w:rsidRPr="006D44F9">
        <w:rPr>
          <w:rFonts w:cs="Calibri"/>
        </w:rPr>
        <w:t>The applicant is using best available technology to minimize the discharge of any pollutant; and</w:t>
      </w:r>
    </w:p>
    <w:p w:rsidR="00B717B4" w:rsidRDefault="00B717B4" w:rsidP="00B717B4">
      <w:pPr>
        <w:widowControl/>
        <w:numPr>
          <w:ilvl w:val="0"/>
          <w:numId w:val="11"/>
        </w:numPr>
        <w:autoSpaceDE/>
        <w:autoSpaceDN/>
        <w:adjustRightInd/>
        <w:spacing w:after="120"/>
        <w:ind w:left="1440"/>
        <w:jc w:val="left"/>
        <w:rPr>
          <w:rFonts w:cs="Calibri"/>
        </w:rPr>
      </w:pPr>
      <w:r w:rsidRPr="006D44F9">
        <w:rPr>
          <w:rFonts w:cs="Calibri"/>
        </w:rPr>
        <w:t>There is no impairment of present and future beneficial uses of ground water.</w:t>
      </w:r>
    </w:p>
    <w:p w:rsidR="00887D6D" w:rsidRDefault="00887D6D" w:rsidP="008D5186">
      <w:pPr>
        <w:rPr>
          <w:b/>
        </w:rPr>
      </w:pPr>
    </w:p>
    <w:p w:rsidR="00887D6D" w:rsidRDefault="00887D6D" w:rsidP="008D5186">
      <w:pPr>
        <w:rPr>
          <w:b/>
        </w:rPr>
      </w:pPr>
    </w:p>
    <w:p w:rsidR="00521DF9" w:rsidRPr="00F314A0" w:rsidRDefault="008D5186" w:rsidP="008D5186">
      <w:pPr>
        <w:rPr>
          <w:b/>
        </w:rPr>
      </w:pPr>
      <w:r w:rsidRPr="00F314A0">
        <w:rPr>
          <w:b/>
        </w:rPr>
        <w:t>Purpose</w:t>
      </w:r>
      <w:r w:rsidR="00181F06">
        <w:rPr>
          <w:b/>
        </w:rPr>
        <w:t xml:space="preserve"> </w:t>
      </w:r>
    </w:p>
    <w:p w:rsidR="00F641AB" w:rsidRDefault="00F641AB" w:rsidP="008D5186">
      <w:pPr>
        <w:rPr>
          <w:u w:val="single"/>
        </w:rPr>
      </w:pPr>
    </w:p>
    <w:p w:rsidR="002852EA" w:rsidRPr="00E51ECC" w:rsidRDefault="00E51ECC" w:rsidP="0052789F">
      <w:r w:rsidRPr="00E51ECC">
        <w:rPr>
          <w:bCs/>
          <w:szCs w:val="22"/>
        </w:rPr>
        <w:t>Christensen</w:t>
      </w:r>
      <w:r w:rsidR="009A4297" w:rsidRPr="00E51ECC">
        <w:rPr>
          <w:bCs/>
          <w:szCs w:val="22"/>
        </w:rPr>
        <w:t xml:space="preserve"> Finisher Farm</w:t>
      </w:r>
      <w:r w:rsidR="002852EA" w:rsidRPr="00E51ECC">
        <w:rPr>
          <w:bCs/>
          <w:szCs w:val="22"/>
        </w:rPr>
        <w:t xml:space="preserve"> </w:t>
      </w:r>
      <w:r w:rsidR="00915045" w:rsidRPr="00E51ECC">
        <w:rPr>
          <w:bCs/>
          <w:szCs w:val="22"/>
        </w:rPr>
        <w:t xml:space="preserve">will construct and operate </w:t>
      </w:r>
      <w:r w:rsidR="00793245" w:rsidRPr="00E51ECC">
        <w:rPr>
          <w:bCs/>
          <w:szCs w:val="22"/>
        </w:rPr>
        <w:t xml:space="preserve">one farm site comprised of </w:t>
      </w:r>
      <w:r w:rsidR="00A20AB9" w:rsidRPr="00E51ECC">
        <w:rPr>
          <w:bCs/>
          <w:szCs w:val="22"/>
        </w:rPr>
        <w:t>4</w:t>
      </w:r>
      <w:r w:rsidR="00C80727" w:rsidRPr="00E51ECC">
        <w:rPr>
          <w:bCs/>
          <w:szCs w:val="22"/>
        </w:rPr>
        <w:t xml:space="preserve"> barns with 8800 total</w:t>
      </w:r>
      <w:r w:rsidR="00793245" w:rsidRPr="00E51ECC">
        <w:rPr>
          <w:bCs/>
          <w:szCs w:val="22"/>
        </w:rPr>
        <w:t xml:space="preserve"> hogs</w:t>
      </w:r>
      <w:r w:rsidR="00C80727" w:rsidRPr="00E51ECC">
        <w:rPr>
          <w:bCs/>
          <w:szCs w:val="22"/>
        </w:rPr>
        <w:t xml:space="preserve"> and a single</w:t>
      </w:r>
      <w:r w:rsidR="004D16C3" w:rsidRPr="00E51ECC">
        <w:rPr>
          <w:bCs/>
          <w:szCs w:val="22"/>
        </w:rPr>
        <w:t>, 3.7 million gallon</w:t>
      </w:r>
      <w:r w:rsidR="00887D6D" w:rsidRPr="00E51ECC">
        <w:rPr>
          <w:bCs/>
          <w:szCs w:val="22"/>
        </w:rPr>
        <w:t xml:space="preserve"> containment basin</w:t>
      </w:r>
      <w:r w:rsidR="00C80727" w:rsidRPr="00E51ECC">
        <w:rPr>
          <w:bCs/>
          <w:szCs w:val="22"/>
        </w:rPr>
        <w:t xml:space="preserve"> for the barns</w:t>
      </w:r>
      <w:r w:rsidR="002852EA" w:rsidRPr="00E51ECC">
        <w:rPr>
          <w:bCs/>
          <w:szCs w:val="22"/>
        </w:rPr>
        <w:t xml:space="preserve"> </w:t>
      </w:r>
      <w:r w:rsidRPr="00E51ECC">
        <w:rPr>
          <w:bCs/>
          <w:szCs w:val="22"/>
        </w:rPr>
        <w:t>Northwest</w:t>
      </w:r>
      <w:r w:rsidR="00D57E18" w:rsidRPr="00E51ECC">
        <w:rPr>
          <w:bCs/>
          <w:szCs w:val="22"/>
        </w:rPr>
        <w:t xml:space="preserve"> of </w:t>
      </w:r>
      <w:r w:rsidRPr="00E51ECC">
        <w:rPr>
          <w:bCs/>
          <w:szCs w:val="22"/>
        </w:rPr>
        <w:t>Fillmore</w:t>
      </w:r>
      <w:r w:rsidR="00D57E18" w:rsidRPr="00E51ECC">
        <w:rPr>
          <w:bCs/>
          <w:szCs w:val="22"/>
        </w:rPr>
        <w:t xml:space="preserve"> in</w:t>
      </w:r>
      <w:r w:rsidR="009A4297" w:rsidRPr="00E51ECC">
        <w:rPr>
          <w:bCs/>
          <w:szCs w:val="22"/>
        </w:rPr>
        <w:t xml:space="preserve"> </w:t>
      </w:r>
      <w:r w:rsidRPr="00E51ECC">
        <w:rPr>
          <w:bCs/>
          <w:szCs w:val="22"/>
        </w:rPr>
        <w:t>Millard</w:t>
      </w:r>
      <w:r w:rsidR="002852EA" w:rsidRPr="00E51ECC">
        <w:rPr>
          <w:bCs/>
          <w:szCs w:val="22"/>
        </w:rPr>
        <w:t xml:space="preserve"> County, UT</w:t>
      </w:r>
      <w:r w:rsidR="00915045" w:rsidRPr="00E51ECC">
        <w:rPr>
          <w:bCs/>
          <w:szCs w:val="22"/>
        </w:rPr>
        <w:t>.</w:t>
      </w:r>
      <w:r w:rsidR="00C80727" w:rsidRPr="00E51ECC">
        <w:rPr>
          <w:bCs/>
          <w:szCs w:val="22"/>
        </w:rPr>
        <w:t xml:space="preserve"> </w:t>
      </w:r>
      <w:r w:rsidR="00915045" w:rsidRPr="00E51ECC">
        <w:rPr>
          <w:bCs/>
          <w:szCs w:val="22"/>
        </w:rPr>
        <w:t xml:space="preserve"> </w:t>
      </w:r>
      <w:r w:rsidR="009A4297" w:rsidRPr="00E51ECC">
        <w:t>The</w:t>
      </w:r>
      <w:r w:rsidR="00C80727" w:rsidRPr="00E51ECC">
        <w:t xml:space="preserve"> containment basin</w:t>
      </w:r>
      <w:r w:rsidR="009A4297" w:rsidRPr="00E51ECC">
        <w:t xml:space="preserve"> will receive waste water from swine production operations</w:t>
      </w:r>
      <w:r w:rsidR="00C80727" w:rsidRPr="00E51ECC">
        <w:t xml:space="preserve"> </w:t>
      </w:r>
      <w:r w:rsidR="00C80727" w:rsidRPr="00E51ECC">
        <w:rPr>
          <w:bCs/>
          <w:szCs w:val="22"/>
        </w:rPr>
        <w:t xml:space="preserve">and </w:t>
      </w:r>
      <w:r w:rsidR="00D57E18" w:rsidRPr="00E51ECC">
        <w:rPr>
          <w:bCs/>
          <w:szCs w:val="22"/>
        </w:rPr>
        <w:t>is</w:t>
      </w:r>
      <w:r w:rsidR="009A4297" w:rsidRPr="00E51ECC">
        <w:rPr>
          <w:bCs/>
          <w:szCs w:val="22"/>
        </w:rPr>
        <w:t xml:space="preserve"> sized to hold accumulated discharge from barn </w:t>
      </w:r>
      <w:r w:rsidR="00D57E18" w:rsidRPr="00E51ECC">
        <w:rPr>
          <w:bCs/>
          <w:szCs w:val="22"/>
        </w:rPr>
        <w:t>operations temporarily</w:t>
      </w:r>
      <w:r w:rsidR="009A4297" w:rsidRPr="00E51ECC">
        <w:rPr>
          <w:bCs/>
          <w:szCs w:val="22"/>
        </w:rPr>
        <w:t xml:space="preserve">.  </w:t>
      </w:r>
      <w:r w:rsidR="006A0BA9" w:rsidRPr="00E51ECC">
        <w:rPr>
          <w:bCs/>
          <w:szCs w:val="22"/>
        </w:rPr>
        <w:t>M</w:t>
      </w:r>
      <w:r w:rsidR="009A4297" w:rsidRPr="00E51ECC">
        <w:rPr>
          <w:bCs/>
          <w:szCs w:val="22"/>
        </w:rPr>
        <w:t>anure will be removed annually from the containment basins and used for land application and fertilization of nearby agricultural acreage.</w:t>
      </w:r>
      <w:r w:rsidR="00C80727" w:rsidRPr="00E51ECC">
        <w:rPr>
          <w:bCs/>
          <w:szCs w:val="22"/>
        </w:rPr>
        <w:t xml:space="preserve">  </w:t>
      </w:r>
    </w:p>
    <w:p w:rsidR="002B2731" w:rsidRPr="00E51ECC" w:rsidRDefault="002B2731" w:rsidP="0052789F"/>
    <w:p w:rsidR="00F641AB" w:rsidRPr="00E51ECC" w:rsidRDefault="00D750BA" w:rsidP="0052789F">
      <w:pPr>
        <w:tabs>
          <w:tab w:val="center" w:pos="4680"/>
        </w:tabs>
      </w:pPr>
      <w:r w:rsidRPr="00E51ECC">
        <w:rPr>
          <w:bCs/>
          <w:szCs w:val="22"/>
        </w:rPr>
        <w:t xml:space="preserve">The </w:t>
      </w:r>
      <w:r w:rsidR="00E51ECC" w:rsidRPr="00E51ECC">
        <w:rPr>
          <w:bCs/>
          <w:szCs w:val="22"/>
        </w:rPr>
        <w:t>Christensen</w:t>
      </w:r>
      <w:r w:rsidR="009A4297" w:rsidRPr="00E51ECC">
        <w:rPr>
          <w:bCs/>
          <w:szCs w:val="22"/>
        </w:rPr>
        <w:t xml:space="preserve"> Finisher Farm </w:t>
      </w:r>
      <w:r w:rsidR="00D61E4E" w:rsidRPr="00E51ECC">
        <w:t xml:space="preserve">has been granted a </w:t>
      </w:r>
      <w:r w:rsidR="009A4297" w:rsidRPr="00E51ECC">
        <w:t xml:space="preserve">construction permit and a ground water discharge </w:t>
      </w:r>
      <w:r w:rsidR="00D61E4E" w:rsidRPr="00E51ECC">
        <w:t xml:space="preserve">permit for </w:t>
      </w:r>
      <w:r w:rsidR="0052789F" w:rsidRPr="00E51ECC">
        <w:t xml:space="preserve">operation </w:t>
      </w:r>
      <w:r w:rsidR="00915045" w:rsidRPr="00E51ECC">
        <w:t xml:space="preserve">of </w:t>
      </w:r>
      <w:r w:rsidR="00D57E18" w:rsidRPr="00E51ECC">
        <w:t>the containment basin</w:t>
      </w:r>
      <w:r w:rsidR="00915045" w:rsidRPr="00E51ECC">
        <w:t>.</w:t>
      </w:r>
      <w:r w:rsidR="00F641AB" w:rsidRPr="00E51ECC">
        <w:t xml:space="preserve">  This Ground Water Discharge Permit will require ground water </w:t>
      </w:r>
      <w:r w:rsidR="00D61E4E" w:rsidRPr="00E51ECC">
        <w:t xml:space="preserve">and process water </w:t>
      </w:r>
      <w:r w:rsidR="00F641AB" w:rsidRPr="00E51ECC">
        <w:t>compliance monitoring</w:t>
      </w:r>
      <w:r w:rsidR="00AC5A7A" w:rsidRPr="00E51ECC">
        <w:t>.</w:t>
      </w:r>
      <w:r w:rsidR="009A4297" w:rsidRPr="00E51ECC">
        <w:t xml:space="preserve"> The water must be </w:t>
      </w:r>
      <w:r w:rsidR="00FA478B" w:rsidRPr="00E51ECC">
        <w:t xml:space="preserve">land </w:t>
      </w:r>
      <w:r w:rsidR="009A4297" w:rsidRPr="00E51ECC">
        <w:t xml:space="preserve">applied in accordance with a </w:t>
      </w:r>
      <w:r w:rsidR="000D2CC3" w:rsidRPr="00E51ECC">
        <w:t xml:space="preserve">comprehensive </w:t>
      </w:r>
      <w:r w:rsidR="009A4297" w:rsidRPr="00E51ECC">
        <w:t>nutrient management plan (CNMP)</w:t>
      </w:r>
      <w:r w:rsidR="00F641AB" w:rsidRPr="00E51ECC">
        <w:t xml:space="preserve">  </w:t>
      </w:r>
    </w:p>
    <w:p w:rsidR="00F641AB" w:rsidRPr="00E51ECC" w:rsidRDefault="00F641AB" w:rsidP="0052789F"/>
    <w:p w:rsidR="00B4735B" w:rsidRPr="00E51ECC" w:rsidRDefault="00B4735B" w:rsidP="0052789F">
      <w:pPr>
        <w:rPr>
          <w:b/>
        </w:rPr>
      </w:pPr>
      <w:r w:rsidRPr="00E51ECC">
        <w:rPr>
          <w:b/>
        </w:rPr>
        <w:t>Potential Impacts to Ground Water</w:t>
      </w:r>
    </w:p>
    <w:p w:rsidR="00B4735B" w:rsidRPr="00E51ECC" w:rsidRDefault="00B4735B" w:rsidP="0052789F"/>
    <w:p w:rsidR="00B4735B" w:rsidRPr="00E51ECC" w:rsidRDefault="002852EA" w:rsidP="0052789F">
      <w:r w:rsidRPr="00E51ECC">
        <w:t xml:space="preserve">The </w:t>
      </w:r>
      <w:r w:rsidR="00FA478B" w:rsidRPr="00E51ECC">
        <w:t xml:space="preserve">containment </w:t>
      </w:r>
      <w:r w:rsidR="002E6282">
        <w:t>basin</w:t>
      </w:r>
      <w:r w:rsidRPr="00E51ECC">
        <w:t xml:space="preserve"> will be constructed with an HDPE liner to minimize discharge to the </w:t>
      </w:r>
      <w:r w:rsidR="00BC6FFE" w:rsidRPr="00E51ECC">
        <w:t>sub</w:t>
      </w:r>
      <w:r w:rsidRPr="00E51ECC">
        <w:t xml:space="preserve">surface. </w:t>
      </w:r>
      <w:r w:rsidR="00B4735B" w:rsidRPr="00E51ECC">
        <w:t xml:space="preserve">Ground water quality monitoring of the shallow aquifer downgradient of the </w:t>
      </w:r>
      <w:r w:rsidR="002E6282">
        <w:t>basin</w:t>
      </w:r>
      <w:r w:rsidR="00B4735B" w:rsidRPr="00E51ECC">
        <w:t xml:space="preserve"> will be conducted to determine if ground water quality has been impacted by </w:t>
      </w:r>
      <w:r w:rsidR="00FA478B" w:rsidRPr="00E51ECC">
        <w:t>basin</w:t>
      </w:r>
      <w:r w:rsidR="00B4735B" w:rsidRPr="00E51ECC">
        <w:t xml:space="preserve"> discharge</w:t>
      </w:r>
      <w:r w:rsidR="007B3846" w:rsidRPr="00E51ECC">
        <w:t xml:space="preserve">s. </w:t>
      </w:r>
      <w:r w:rsidR="00B4735B" w:rsidRPr="00E51ECC">
        <w:t xml:space="preserve"> </w:t>
      </w:r>
    </w:p>
    <w:p w:rsidR="00B4735B" w:rsidRPr="00E51ECC" w:rsidRDefault="00B4735B" w:rsidP="0052789F">
      <w:pPr>
        <w:rPr>
          <w:b/>
        </w:rPr>
      </w:pPr>
    </w:p>
    <w:p w:rsidR="00060B93" w:rsidRPr="00E51ECC" w:rsidRDefault="008D5186" w:rsidP="0052789F">
      <w:pPr>
        <w:rPr>
          <w:b/>
        </w:rPr>
      </w:pPr>
      <w:r w:rsidRPr="00E51ECC">
        <w:rPr>
          <w:b/>
        </w:rPr>
        <w:t>Hydrogeology</w:t>
      </w:r>
    </w:p>
    <w:p w:rsidR="00060B93" w:rsidRDefault="00060B93" w:rsidP="0052789F">
      <w:pPr>
        <w:rPr>
          <w:highlight w:val="yellow"/>
        </w:rPr>
      </w:pPr>
    </w:p>
    <w:p w:rsidR="00725530" w:rsidRPr="002861C0" w:rsidRDefault="0096509A" w:rsidP="00452B7B">
      <w:pPr>
        <w:widowControl/>
        <w:rPr>
          <w:highlight w:val="yellow"/>
        </w:rPr>
      </w:pPr>
      <w:r>
        <w:rPr>
          <w:szCs w:val="22"/>
        </w:rPr>
        <w:t>The site is located in the Pahvant V</w:t>
      </w:r>
      <w:r w:rsidRPr="0096509A">
        <w:rPr>
          <w:szCs w:val="22"/>
        </w:rPr>
        <w:t>alley</w:t>
      </w:r>
      <w:r>
        <w:rPr>
          <w:szCs w:val="22"/>
        </w:rPr>
        <w:t xml:space="preserve"> with the Pahvant Range forming</w:t>
      </w:r>
      <w:r w:rsidRPr="0096509A">
        <w:rPr>
          <w:szCs w:val="22"/>
        </w:rPr>
        <w:t xml:space="preserve"> the eastern boundary of the </w:t>
      </w:r>
      <w:r>
        <w:rPr>
          <w:szCs w:val="22"/>
        </w:rPr>
        <w:t xml:space="preserve">valley.  The Pahvant Range </w:t>
      </w:r>
      <w:r w:rsidRPr="0096509A">
        <w:rPr>
          <w:szCs w:val="22"/>
        </w:rPr>
        <w:t>is generally considered to be part of the</w:t>
      </w:r>
      <w:r>
        <w:rPr>
          <w:szCs w:val="22"/>
        </w:rPr>
        <w:t xml:space="preserve"> </w:t>
      </w:r>
      <w:r w:rsidRPr="0096509A">
        <w:rPr>
          <w:szCs w:val="22"/>
        </w:rPr>
        <w:t>eastern edge of the Basin and Range physiographic province, and consists of consolidated rocks</w:t>
      </w:r>
      <w:r>
        <w:rPr>
          <w:szCs w:val="22"/>
        </w:rPr>
        <w:t xml:space="preserve"> </w:t>
      </w:r>
      <w:r w:rsidRPr="0096509A">
        <w:rPr>
          <w:szCs w:val="22"/>
        </w:rPr>
        <w:t>of Paleozoic to Cenozoi</w:t>
      </w:r>
      <w:r>
        <w:rPr>
          <w:szCs w:val="22"/>
        </w:rPr>
        <w:t>c age. The stratigraphy of the C</w:t>
      </w:r>
      <w:r w:rsidRPr="0096509A">
        <w:rPr>
          <w:szCs w:val="22"/>
        </w:rPr>
        <w:t xml:space="preserve">anyon Mountains, </w:t>
      </w:r>
      <w:r>
        <w:rPr>
          <w:szCs w:val="22"/>
        </w:rPr>
        <w:t>forming</w:t>
      </w:r>
      <w:r w:rsidRPr="0096509A">
        <w:rPr>
          <w:szCs w:val="22"/>
        </w:rPr>
        <w:t xml:space="preserve"> the northeastern part</w:t>
      </w:r>
      <w:r>
        <w:rPr>
          <w:szCs w:val="22"/>
        </w:rPr>
        <w:t xml:space="preserve"> </w:t>
      </w:r>
      <w:r w:rsidRPr="0096509A">
        <w:rPr>
          <w:szCs w:val="22"/>
        </w:rPr>
        <w:t xml:space="preserve">of the </w:t>
      </w:r>
      <w:r>
        <w:rPr>
          <w:szCs w:val="22"/>
        </w:rPr>
        <w:t>valley</w:t>
      </w:r>
      <w:r w:rsidRPr="0096509A">
        <w:rPr>
          <w:szCs w:val="22"/>
        </w:rPr>
        <w:t>, are similar to that of the Pahvant Range but includes rocks of Precambrian age.</w:t>
      </w:r>
      <w:r>
        <w:rPr>
          <w:szCs w:val="22"/>
        </w:rPr>
        <w:t xml:space="preserve">  </w:t>
      </w:r>
      <w:r w:rsidRPr="0096509A">
        <w:rPr>
          <w:szCs w:val="22"/>
        </w:rPr>
        <w:t xml:space="preserve">In the local </w:t>
      </w:r>
      <w:r>
        <w:rPr>
          <w:szCs w:val="22"/>
        </w:rPr>
        <w:t>vicinity</w:t>
      </w:r>
      <w:r w:rsidRPr="0096509A">
        <w:rPr>
          <w:szCs w:val="22"/>
        </w:rPr>
        <w:t xml:space="preserve"> of the proposed farm site the geologic conditions consist of alluvium or</w:t>
      </w:r>
      <w:r>
        <w:rPr>
          <w:szCs w:val="22"/>
        </w:rPr>
        <w:t xml:space="preserve"> </w:t>
      </w:r>
      <w:r w:rsidRPr="0096509A">
        <w:rPr>
          <w:szCs w:val="22"/>
        </w:rPr>
        <w:t>col</w:t>
      </w:r>
      <w:r>
        <w:rPr>
          <w:szCs w:val="22"/>
        </w:rPr>
        <w:t>luvium</w:t>
      </w:r>
      <w:r w:rsidR="00452B7B">
        <w:rPr>
          <w:szCs w:val="22"/>
        </w:rPr>
        <w:t xml:space="preserve"> (Quaternary)</w:t>
      </w:r>
      <w:r>
        <w:rPr>
          <w:szCs w:val="22"/>
        </w:rPr>
        <w:t xml:space="preserve"> overlying basalt flow</w:t>
      </w:r>
      <w:r w:rsidR="00452B7B">
        <w:rPr>
          <w:szCs w:val="22"/>
        </w:rPr>
        <w:t>s</w:t>
      </w:r>
      <w:r>
        <w:rPr>
          <w:szCs w:val="22"/>
        </w:rPr>
        <w:t xml:space="preserve">.  </w:t>
      </w:r>
      <w:r w:rsidRPr="0096509A">
        <w:rPr>
          <w:szCs w:val="22"/>
        </w:rPr>
        <w:t>The basalt flow is underlain valley fill which could be up to</w:t>
      </w:r>
      <w:r>
        <w:rPr>
          <w:szCs w:val="22"/>
        </w:rPr>
        <w:t xml:space="preserve"> </w:t>
      </w:r>
      <w:r w:rsidRPr="0096509A">
        <w:rPr>
          <w:szCs w:val="22"/>
        </w:rPr>
        <w:t>thousands of feet thick.</w:t>
      </w:r>
      <w:r w:rsidR="00452B7B">
        <w:rPr>
          <w:szCs w:val="22"/>
        </w:rPr>
        <w:t xml:space="preserve">  </w:t>
      </w:r>
      <w:r w:rsidR="00452B7B" w:rsidRPr="00452B7B">
        <w:rPr>
          <w:szCs w:val="22"/>
        </w:rPr>
        <w:t>Alluvial fans which developed along the mountain fronts, predominantly during Quaternary</w:t>
      </w:r>
      <w:r w:rsidR="00452B7B">
        <w:rPr>
          <w:szCs w:val="22"/>
        </w:rPr>
        <w:t xml:space="preserve"> tim</w:t>
      </w:r>
      <w:r w:rsidR="00452B7B" w:rsidRPr="00452B7B">
        <w:rPr>
          <w:szCs w:val="22"/>
        </w:rPr>
        <w:t>e, were deposited synchronously with sediments laid down by intermittent lakes. The fans</w:t>
      </w:r>
      <w:r w:rsidR="00452B7B">
        <w:rPr>
          <w:szCs w:val="22"/>
        </w:rPr>
        <w:t xml:space="preserve"> </w:t>
      </w:r>
      <w:r w:rsidR="00452B7B" w:rsidRPr="00452B7B">
        <w:rPr>
          <w:szCs w:val="22"/>
        </w:rPr>
        <w:t>extended into the basin where they interfingered with lakebed deposits consisting of gravel, sand,</w:t>
      </w:r>
      <w:r w:rsidR="00452B7B">
        <w:rPr>
          <w:szCs w:val="22"/>
        </w:rPr>
        <w:t xml:space="preserve"> silt, and clay.  </w:t>
      </w:r>
      <w:r w:rsidR="00452B7B" w:rsidRPr="00452B7B">
        <w:rPr>
          <w:szCs w:val="22"/>
        </w:rPr>
        <w:t>These deposits are unconsolidated and form one of the principal aquifers in</w:t>
      </w:r>
      <w:r w:rsidR="00452B7B">
        <w:rPr>
          <w:szCs w:val="22"/>
        </w:rPr>
        <w:t xml:space="preserve"> the </w:t>
      </w:r>
      <w:r w:rsidR="00452B7B" w:rsidRPr="00452B7B">
        <w:rPr>
          <w:szCs w:val="22"/>
        </w:rPr>
        <w:t xml:space="preserve">Pahvant Valley. </w:t>
      </w:r>
      <w:r w:rsidR="00452B7B">
        <w:rPr>
          <w:szCs w:val="22"/>
        </w:rPr>
        <w:t xml:space="preserve"> </w:t>
      </w:r>
    </w:p>
    <w:p w:rsidR="00725530" w:rsidRPr="002861C0" w:rsidRDefault="00725530" w:rsidP="0052789F">
      <w:pPr>
        <w:rPr>
          <w:highlight w:val="yellow"/>
        </w:rPr>
      </w:pPr>
    </w:p>
    <w:p w:rsidR="00060B93" w:rsidRPr="00E51ECC" w:rsidRDefault="00F9567F" w:rsidP="0052789F">
      <w:pPr>
        <w:rPr>
          <w:rFonts w:ascii="Times" w:hAnsi="Times" w:cs="Times"/>
          <w:b/>
        </w:rPr>
      </w:pPr>
      <w:r w:rsidRPr="00E51ECC">
        <w:rPr>
          <w:b/>
        </w:rPr>
        <w:t>Ground Water Quality</w:t>
      </w:r>
    </w:p>
    <w:p w:rsidR="004D16C3" w:rsidRPr="00E51ECC" w:rsidRDefault="004D16C3" w:rsidP="0052789F"/>
    <w:p w:rsidR="00E14158" w:rsidRPr="00E51ECC" w:rsidRDefault="00E14158" w:rsidP="0052789F">
      <w:pPr>
        <w:rPr>
          <w:rFonts w:cs="Times"/>
        </w:rPr>
      </w:pPr>
      <w:r w:rsidRPr="00E51ECC">
        <w:t>The site is</w:t>
      </w:r>
      <w:r w:rsidR="000638D3" w:rsidRPr="00E51ECC">
        <w:t xml:space="preserve"> </w:t>
      </w:r>
      <w:r w:rsidR="004D16C3" w:rsidRPr="00E51ECC">
        <w:t xml:space="preserve">likely </w:t>
      </w:r>
      <w:r w:rsidR="000638D3" w:rsidRPr="00E51ECC">
        <w:t xml:space="preserve">situated over Class </w:t>
      </w:r>
      <w:r w:rsidR="00D52299" w:rsidRPr="00E51ECC">
        <w:t>I</w:t>
      </w:r>
      <w:r w:rsidR="0096282B" w:rsidRPr="00E51ECC">
        <w:t>A</w:t>
      </w:r>
      <w:r w:rsidRPr="00E51ECC">
        <w:t xml:space="preserve"> </w:t>
      </w:r>
      <w:r w:rsidR="0096282B" w:rsidRPr="00E51ECC">
        <w:t xml:space="preserve">Pristine </w:t>
      </w:r>
      <w:r w:rsidRPr="00E51ECC">
        <w:t xml:space="preserve">Ground Water. </w:t>
      </w:r>
      <w:r w:rsidR="00D52299" w:rsidRPr="00E51ECC">
        <w:t xml:space="preserve"> </w:t>
      </w:r>
      <w:r w:rsidR="000638D3" w:rsidRPr="00E51ECC">
        <w:rPr>
          <w:rFonts w:cs="Times"/>
        </w:rPr>
        <w:t>Class I</w:t>
      </w:r>
      <w:r w:rsidRPr="00E51ECC">
        <w:rPr>
          <w:rFonts w:cs="Times"/>
        </w:rPr>
        <w:t xml:space="preserve"> </w:t>
      </w:r>
      <w:r w:rsidR="0096282B" w:rsidRPr="00E51ECC">
        <w:rPr>
          <w:rFonts w:cs="Times"/>
        </w:rPr>
        <w:t>Pristine</w:t>
      </w:r>
      <w:r w:rsidRPr="00E51ECC">
        <w:rPr>
          <w:rFonts w:cs="Times"/>
        </w:rPr>
        <w:t xml:space="preserve"> Ground Water has the following characteristics: 1) total dissolved solids </w:t>
      </w:r>
      <w:r w:rsidR="00D52299" w:rsidRPr="00E51ECC">
        <w:rPr>
          <w:rFonts w:cs="Times"/>
        </w:rPr>
        <w:t xml:space="preserve">concentrations </w:t>
      </w:r>
      <w:r w:rsidR="0096282B" w:rsidRPr="00E51ECC">
        <w:rPr>
          <w:rFonts w:cs="Times"/>
        </w:rPr>
        <w:t>less</w:t>
      </w:r>
      <w:r w:rsidRPr="00E51ECC">
        <w:rPr>
          <w:rFonts w:cs="Times"/>
        </w:rPr>
        <w:t xml:space="preserve"> than 500 mg/L</w:t>
      </w:r>
      <w:r w:rsidR="000E6FB5" w:rsidRPr="00E51ECC">
        <w:rPr>
          <w:rFonts w:cs="Times"/>
        </w:rPr>
        <w:t>; and 2)</w:t>
      </w:r>
      <w:r w:rsidR="00DA2497" w:rsidRPr="00E51ECC">
        <w:rPr>
          <w:rFonts w:cs="Times"/>
        </w:rPr>
        <w:t xml:space="preserve"> </w:t>
      </w:r>
      <w:r w:rsidR="000E6FB5" w:rsidRPr="00E51ECC">
        <w:rPr>
          <w:rFonts w:cs="Times"/>
        </w:rPr>
        <w:t>No contaminants that exceed Utah ground water quality standards.</w:t>
      </w:r>
    </w:p>
    <w:p w:rsidR="00E14158" w:rsidRPr="00E51ECC" w:rsidRDefault="00E14158" w:rsidP="0052789F">
      <w:pPr>
        <w:rPr>
          <w:rFonts w:cs="Times"/>
        </w:rPr>
      </w:pPr>
    </w:p>
    <w:p w:rsidR="00756443" w:rsidRPr="00E51ECC" w:rsidRDefault="00E14158" w:rsidP="0052789F">
      <w:pPr>
        <w:rPr>
          <w:rFonts w:cs="Times"/>
        </w:rPr>
      </w:pPr>
      <w:r w:rsidRPr="00E51ECC">
        <w:rPr>
          <w:rFonts w:cs="Times"/>
        </w:rPr>
        <w:t xml:space="preserve">Class </w:t>
      </w:r>
      <w:r w:rsidR="00D52299" w:rsidRPr="00E51ECC">
        <w:rPr>
          <w:rFonts w:cs="Times"/>
        </w:rPr>
        <w:t>I</w:t>
      </w:r>
      <w:r w:rsidRPr="00E51ECC">
        <w:rPr>
          <w:rFonts w:cs="Times"/>
        </w:rPr>
        <w:t xml:space="preserve"> ground water will be protected </w:t>
      </w:r>
      <w:r w:rsidR="0096282B" w:rsidRPr="00E51ECC">
        <w:rPr>
          <w:rFonts w:cs="Times"/>
        </w:rPr>
        <w:t>to the maximum extent feasible from degradation due to facilities that discharge or would probably discharge to ground water.</w:t>
      </w:r>
      <w:r w:rsidR="004D16C3" w:rsidRPr="00E51ECC">
        <w:rPr>
          <w:rFonts w:cs="Times"/>
        </w:rPr>
        <w:t xml:space="preserve">  Up-gradient and down-gradient monitoring wells will be installed and sampled prior to operation and for a final determination of site specific ground water quality and classification.</w:t>
      </w:r>
    </w:p>
    <w:p w:rsidR="00E14158" w:rsidRPr="00E51ECC" w:rsidRDefault="00E14158" w:rsidP="0052789F"/>
    <w:p w:rsidR="00BA6762" w:rsidRPr="00E51ECC" w:rsidRDefault="00124A86" w:rsidP="0052789F">
      <w:pPr>
        <w:rPr>
          <w:b/>
        </w:rPr>
      </w:pPr>
      <w:r w:rsidRPr="00E51ECC">
        <w:rPr>
          <w:b/>
        </w:rPr>
        <w:t xml:space="preserve">Compliance Monitoring </w:t>
      </w:r>
      <w:r w:rsidR="00391341" w:rsidRPr="00E51ECC">
        <w:rPr>
          <w:b/>
        </w:rPr>
        <w:t>Program</w:t>
      </w:r>
    </w:p>
    <w:p w:rsidR="00B4735B" w:rsidRPr="00E51ECC" w:rsidRDefault="00B4735B" w:rsidP="0052789F"/>
    <w:p w:rsidR="006A4E3C" w:rsidRPr="00E51ECC" w:rsidRDefault="00391341" w:rsidP="0052789F">
      <w:pPr>
        <w:tabs>
          <w:tab w:val="left" w:pos="360"/>
          <w:tab w:val="left" w:pos="540"/>
          <w:tab w:val="left" w:pos="720"/>
          <w:tab w:val="left" w:pos="1080"/>
          <w:tab w:val="left" w:pos="2700"/>
          <w:tab w:val="left" w:pos="3240"/>
          <w:tab w:val="left" w:pos="3780"/>
        </w:tabs>
      </w:pPr>
      <w:r w:rsidRPr="00E51ECC">
        <w:t>A compliance</w:t>
      </w:r>
      <w:r w:rsidR="006A0BA9" w:rsidRPr="00E51ECC">
        <w:t xml:space="preserve"> groundwater </w:t>
      </w:r>
      <w:r w:rsidRPr="00E51ECC">
        <w:t xml:space="preserve">monitoring program will commence </w:t>
      </w:r>
      <w:r w:rsidR="00004A13" w:rsidRPr="00E51ECC">
        <w:t xml:space="preserve">when </w:t>
      </w:r>
      <w:r w:rsidR="00343DFE" w:rsidRPr="00E51ECC">
        <w:t>the containment basin</w:t>
      </w:r>
      <w:r w:rsidR="00004A13" w:rsidRPr="00E51ECC">
        <w:t xml:space="preserve"> </w:t>
      </w:r>
      <w:r w:rsidR="002E6282">
        <w:t>is</w:t>
      </w:r>
      <w:r w:rsidR="00343DFE" w:rsidRPr="00E51ECC">
        <w:t xml:space="preserve"> constructed</w:t>
      </w:r>
      <w:r w:rsidRPr="00E51ECC">
        <w:t xml:space="preserve">.  </w:t>
      </w:r>
      <w:r w:rsidR="00343DFE" w:rsidRPr="00E51ECC">
        <w:t>Upgradient and downgradient</w:t>
      </w:r>
      <w:r w:rsidR="006A4E3C" w:rsidRPr="00E51ECC">
        <w:t xml:space="preserve"> monitoring wells will be installed prior to operation of the </w:t>
      </w:r>
      <w:r w:rsidR="002E6282">
        <w:t>basin</w:t>
      </w:r>
      <w:r w:rsidR="006A4E3C" w:rsidRPr="00E51ECC">
        <w:t>.</w:t>
      </w:r>
      <w:r w:rsidR="004D16C3" w:rsidRPr="00E51ECC">
        <w:t xml:space="preserve">  Background conditions will be determined from the up-gradient well in accordance with R317-6-6.10 and compliance limits for the downgradient wells will be set according to R317-6-4.</w:t>
      </w:r>
    </w:p>
    <w:p w:rsidR="006A4E3C" w:rsidRPr="00E51ECC" w:rsidRDefault="006A4E3C" w:rsidP="0052789F">
      <w:pPr>
        <w:tabs>
          <w:tab w:val="left" w:pos="360"/>
          <w:tab w:val="left" w:pos="540"/>
          <w:tab w:val="left" w:pos="720"/>
          <w:tab w:val="left" w:pos="1080"/>
          <w:tab w:val="left" w:pos="2700"/>
          <w:tab w:val="left" w:pos="3240"/>
          <w:tab w:val="left" w:pos="3780"/>
        </w:tabs>
      </w:pPr>
    </w:p>
    <w:p w:rsidR="00124A86" w:rsidRPr="00452B7B" w:rsidRDefault="00F87BD6" w:rsidP="0052789F">
      <w:pPr>
        <w:tabs>
          <w:tab w:val="left" w:pos="360"/>
          <w:tab w:val="left" w:pos="540"/>
          <w:tab w:val="left" w:pos="720"/>
          <w:tab w:val="left" w:pos="1080"/>
          <w:tab w:val="left" w:pos="2700"/>
          <w:tab w:val="left" w:pos="3240"/>
          <w:tab w:val="left" w:pos="3780"/>
        </w:tabs>
      </w:pPr>
      <w:r w:rsidRPr="00452B7B">
        <w:lastRenderedPageBreak/>
        <w:t xml:space="preserve">The following </w:t>
      </w:r>
      <w:r w:rsidR="0005601E" w:rsidRPr="00452B7B">
        <w:t xml:space="preserve">key </w:t>
      </w:r>
      <w:r w:rsidRPr="00452B7B">
        <w:t xml:space="preserve">parameters were selected for compliance </w:t>
      </w:r>
      <w:r w:rsidR="006A4E3C" w:rsidRPr="00452B7B">
        <w:t xml:space="preserve">ground water </w:t>
      </w:r>
      <w:r w:rsidRPr="00452B7B">
        <w:t xml:space="preserve">monitoring based on their concentrations in </w:t>
      </w:r>
      <w:r w:rsidR="0005601E" w:rsidRPr="00452B7B">
        <w:t xml:space="preserve">the </w:t>
      </w:r>
      <w:r w:rsidR="00452B7B" w:rsidRPr="00452B7B">
        <w:t>containment basin</w:t>
      </w:r>
      <w:r w:rsidRPr="00452B7B">
        <w:t xml:space="preserve"> compared to concentrations in shallow ground water:</w:t>
      </w:r>
    </w:p>
    <w:p w:rsidR="00F87BD6" w:rsidRPr="00452B7B" w:rsidRDefault="00391341" w:rsidP="008D5186">
      <w:pPr>
        <w:widowControl/>
        <w:numPr>
          <w:ilvl w:val="0"/>
          <w:numId w:val="3"/>
        </w:numPr>
        <w:tabs>
          <w:tab w:val="left" w:pos="130"/>
          <w:tab w:val="left" w:pos="850"/>
          <w:tab w:val="left" w:pos="1390"/>
          <w:tab w:val="left" w:pos="1570"/>
          <w:tab w:val="left" w:pos="1930"/>
          <w:tab w:val="left" w:pos="2470"/>
          <w:tab w:val="left" w:pos="3330"/>
          <w:tab w:val="left" w:pos="3960"/>
          <w:tab w:val="left" w:pos="4770"/>
          <w:tab w:val="left" w:pos="5170"/>
          <w:tab w:val="left" w:pos="5890"/>
          <w:tab w:val="left" w:pos="6610"/>
          <w:tab w:val="left" w:pos="7330"/>
          <w:tab w:val="left" w:pos="8050"/>
          <w:tab w:val="left" w:pos="8770"/>
          <w:tab w:val="left" w:pos="9490"/>
          <w:tab w:val="left" w:pos="10210"/>
          <w:tab w:val="left" w:pos="10930"/>
          <w:tab w:val="left" w:pos="11650"/>
          <w:tab w:val="left" w:pos="12370"/>
          <w:tab w:val="left" w:pos="13090"/>
          <w:tab w:val="left" w:pos="13810"/>
          <w:tab w:val="left" w:pos="14530"/>
        </w:tabs>
        <w:autoSpaceDE/>
        <w:autoSpaceDN/>
        <w:adjustRightInd/>
        <w:rPr>
          <w:lang w:eastAsia="ja-JP"/>
        </w:rPr>
      </w:pPr>
      <w:r w:rsidRPr="00452B7B">
        <w:rPr>
          <w:lang w:eastAsia="ja-JP"/>
        </w:rPr>
        <w:t>TDS</w:t>
      </w:r>
    </w:p>
    <w:p w:rsidR="00F87BD6" w:rsidRPr="00452B7B" w:rsidRDefault="00022D76" w:rsidP="008D5186">
      <w:pPr>
        <w:numPr>
          <w:ilvl w:val="0"/>
          <w:numId w:val="4"/>
        </w:numPr>
        <w:rPr>
          <w:lang w:eastAsia="ja-JP"/>
        </w:rPr>
      </w:pPr>
      <w:r w:rsidRPr="00452B7B">
        <w:rPr>
          <w:lang w:eastAsia="ja-JP"/>
        </w:rPr>
        <w:t>Chloride</w:t>
      </w:r>
    </w:p>
    <w:p w:rsidR="00F87BD6" w:rsidRPr="00452B7B" w:rsidRDefault="00022D76" w:rsidP="008D5186">
      <w:pPr>
        <w:numPr>
          <w:ilvl w:val="0"/>
          <w:numId w:val="4"/>
        </w:numPr>
        <w:rPr>
          <w:lang w:eastAsia="ja-JP"/>
        </w:rPr>
      </w:pPr>
      <w:r w:rsidRPr="00452B7B">
        <w:rPr>
          <w:lang w:eastAsia="ja-JP"/>
        </w:rPr>
        <w:t>Nitrate + Nitrite</w:t>
      </w:r>
    </w:p>
    <w:p w:rsidR="00F14062" w:rsidRPr="00452B7B" w:rsidRDefault="00DA000D" w:rsidP="008D5186">
      <w:pPr>
        <w:numPr>
          <w:ilvl w:val="0"/>
          <w:numId w:val="4"/>
        </w:numPr>
        <w:rPr>
          <w:u w:val="single"/>
        </w:rPr>
      </w:pPr>
      <w:r w:rsidRPr="00452B7B">
        <w:rPr>
          <w:lang w:eastAsia="ja-JP"/>
        </w:rPr>
        <w:t>Ammonia</w:t>
      </w:r>
      <w:r w:rsidR="00845FF2" w:rsidRPr="00452B7B">
        <w:rPr>
          <w:lang w:eastAsia="ja-JP"/>
        </w:rPr>
        <w:t xml:space="preserve"> as N</w:t>
      </w:r>
    </w:p>
    <w:p w:rsidR="00B02DED" w:rsidRPr="00452B7B" w:rsidRDefault="00B02DED" w:rsidP="008D5186">
      <w:pPr>
        <w:numPr>
          <w:ilvl w:val="0"/>
          <w:numId w:val="4"/>
        </w:numPr>
        <w:rPr>
          <w:u w:val="single"/>
        </w:rPr>
      </w:pPr>
      <w:r w:rsidRPr="00452B7B">
        <w:rPr>
          <w:lang w:eastAsia="ja-JP"/>
        </w:rPr>
        <w:t>Bicarbonate</w:t>
      </w:r>
    </w:p>
    <w:p w:rsidR="00BA6762" w:rsidRPr="002861C0" w:rsidRDefault="00BA6762" w:rsidP="008D5186">
      <w:pPr>
        <w:rPr>
          <w:b/>
          <w:highlight w:val="yellow"/>
        </w:rPr>
      </w:pPr>
    </w:p>
    <w:p w:rsidR="00C02D08" w:rsidRPr="00E51ECC" w:rsidRDefault="00C02D08" w:rsidP="008D5186">
      <w:r w:rsidRPr="00E51ECC">
        <w:t xml:space="preserve">Following collection, evaluation, and statistical analysis of eight quarterly ground water samples, the interim compliance limits in Table </w:t>
      </w:r>
      <w:r w:rsidR="00452B7B">
        <w:t>1</w:t>
      </w:r>
      <w:r w:rsidRPr="00E51ECC">
        <w:t xml:space="preserve"> of permit UGW</w:t>
      </w:r>
      <w:r w:rsidR="00E51ECC" w:rsidRPr="00E51ECC">
        <w:t>27</w:t>
      </w:r>
      <w:r w:rsidRPr="00E51ECC">
        <w:t>00</w:t>
      </w:r>
      <w:r w:rsidR="00E51ECC" w:rsidRPr="00E51ECC">
        <w:t>11</w:t>
      </w:r>
      <w:r w:rsidRPr="00E51ECC">
        <w:t xml:space="preserve"> will be modified.</w:t>
      </w:r>
    </w:p>
    <w:p w:rsidR="00A4066D" w:rsidRPr="00E51ECC" w:rsidRDefault="00A4066D" w:rsidP="008D5186"/>
    <w:p w:rsidR="00A4066D" w:rsidRPr="00E51ECC" w:rsidRDefault="00B02DED" w:rsidP="008D5186">
      <w:pPr>
        <w:rPr>
          <w:b/>
        </w:rPr>
      </w:pPr>
      <w:r w:rsidRPr="00E51ECC">
        <w:rPr>
          <w:b/>
        </w:rPr>
        <w:t>Best Available Technology</w:t>
      </w:r>
    </w:p>
    <w:p w:rsidR="00B02DED" w:rsidRPr="00E51ECC" w:rsidRDefault="00B02DED" w:rsidP="008D5186">
      <w:pPr>
        <w:rPr>
          <w:b/>
        </w:rPr>
      </w:pPr>
    </w:p>
    <w:p w:rsidR="000A454E" w:rsidRDefault="00B02DED" w:rsidP="008D5186">
      <w:r w:rsidRPr="00E51ECC">
        <w:t>The containment basin will be lined with a single, 60 mil HDPE flexible membrane installed and constructed in accordance with the concurrently issued ground water permit.</w:t>
      </w:r>
      <w:r>
        <w:t xml:space="preserve"> </w:t>
      </w:r>
    </w:p>
    <w:p w:rsidR="001F6A0B" w:rsidRPr="000A3D53" w:rsidRDefault="001F6A0B" w:rsidP="008D5186">
      <w:pPr>
        <w:rPr>
          <w:color w:val="0000FF"/>
          <w:lang w:eastAsia="ja-JP"/>
        </w:rPr>
      </w:pPr>
    </w:p>
    <w:p w:rsidR="00F11D5D" w:rsidRDefault="00F11D5D" w:rsidP="00F11D5D">
      <w:pPr>
        <w:rPr>
          <w:sz w:val="16"/>
          <w:szCs w:val="16"/>
        </w:rPr>
      </w:pPr>
    </w:p>
    <w:p w:rsidR="00B8425E" w:rsidRPr="00F11D5D" w:rsidRDefault="00B8425E" w:rsidP="00F11D5D">
      <w:pPr>
        <w:rPr>
          <w:sz w:val="16"/>
          <w:szCs w:val="16"/>
        </w:rPr>
      </w:pPr>
    </w:p>
    <w:sectPr w:rsidR="00B8425E" w:rsidRPr="00F11D5D" w:rsidSect="0020413D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FC" w:rsidRDefault="006010FC">
      <w:r>
        <w:separator/>
      </w:r>
    </w:p>
  </w:endnote>
  <w:endnote w:type="continuationSeparator" w:id="0">
    <w:p w:rsidR="006010FC" w:rsidRDefault="0060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53" w:rsidRPr="005D161B" w:rsidRDefault="000A3D53" w:rsidP="00162C01">
    <w:pPr>
      <w:pStyle w:val="Footer"/>
      <w:jc w:val="center"/>
      <w:rPr>
        <w:sz w:val="20"/>
        <w:szCs w:val="20"/>
      </w:rPr>
    </w:pPr>
    <w:r w:rsidRPr="005D161B">
      <w:rPr>
        <w:rStyle w:val="PageNumber"/>
        <w:sz w:val="20"/>
        <w:szCs w:val="20"/>
      </w:rPr>
      <w:fldChar w:fldCharType="begin"/>
    </w:r>
    <w:r w:rsidRPr="005D161B">
      <w:rPr>
        <w:rStyle w:val="PageNumber"/>
        <w:sz w:val="20"/>
        <w:szCs w:val="20"/>
      </w:rPr>
      <w:instrText xml:space="preserve"> PAGE </w:instrText>
    </w:r>
    <w:r w:rsidRPr="005D161B">
      <w:rPr>
        <w:rStyle w:val="PageNumber"/>
        <w:sz w:val="20"/>
        <w:szCs w:val="20"/>
      </w:rPr>
      <w:fldChar w:fldCharType="separate"/>
    </w:r>
    <w:r w:rsidR="005038BD">
      <w:rPr>
        <w:rStyle w:val="PageNumber"/>
        <w:noProof/>
        <w:sz w:val="20"/>
        <w:szCs w:val="20"/>
      </w:rPr>
      <w:t>3</w:t>
    </w:r>
    <w:r w:rsidRPr="005D161B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3D" w:rsidRDefault="002041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38BD">
      <w:rPr>
        <w:noProof/>
      </w:rPr>
      <w:t>1</w:t>
    </w:r>
    <w:r>
      <w:rPr>
        <w:noProof/>
      </w:rPr>
      <w:fldChar w:fldCharType="end"/>
    </w:r>
  </w:p>
  <w:p w:rsidR="0020413D" w:rsidRDefault="00204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FC" w:rsidRDefault="006010FC">
      <w:r>
        <w:separator/>
      </w:r>
    </w:p>
  </w:footnote>
  <w:footnote w:type="continuationSeparator" w:id="0">
    <w:p w:rsidR="006010FC" w:rsidRDefault="006010FC">
      <w:r>
        <w:continuationSeparator/>
      </w:r>
    </w:p>
  </w:footnote>
  <w:footnote w:id="1">
    <w:p w:rsidR="00B717B4" w:rsidRPr="00563196" w:rsidRDefault="00B717B4" w:rsidP="00B717B4">
      <w:pPr>
        <w:pStyle w:val="FootnoteText"/>
        <w:jc w:val="left"/>
        <w:rPr>
          <w:rFonts w:ascii="Times New Roman" w:hAnsi="Times New Roman"/>
        </w:rPr>
      </w:pPr>
      <w:r w:rsidRPr="00044715">
        <w:rPr>
          <w:rStyle w:val="FootnoteReference"/>
          <w:rFonts w:cs="Calibri"/>
        </w:rPr>
        <w:footnoteRef/>
      </w:r>
      <w:r w:rsidRPr="00044715">
        <w:rPr>
          <w:rFonts w:cs="Calibri"/>
        </w:rPr>
        <w:t xml:space="preserve"> </w:t>
      </w:r>
      <w:r w:rsidRPr="00563196">
        <w:rPr>
          <w:rFonts w:ascii="Times New Roman" w:hAnsi="Times New Roman"/>
        </w:rPr>
        <w:t>Utah Admin. Code Rule 317-6</w:t>
      </w:r>
    </w:p>
  </w:footnote>
  <w:footnote w:id="2">
    <w:p w:rsidR="00B717B4" w:rsidRPr="00563196" w:rsidRDefault="00B717B4" w:rsidP="00B717B4">
      <w:pPr>
        <w:pStyle w:val="FootnoteText"/>
        <w:ind w:right="-720"/>
        <w:jc w:val="left"/>
        <w:rPr>
          <w:rFonts w:ascii="Times New Roman" w:hAnsi="Times New Roman"/>
        </w:rPr>
      </w:pPr>
      <w:r w:rsidRPr="00563196">
        <w:rPr>
          <w:rStyle w:val="FootnoteReference"/>
          <w:rFonts w:ascii="Times New Roman" w:hAnsi="Times New Roman"/>
        </w:rPr>
        <w:footnoteRef/>
      </w:r>
      <w:r w:rsidRPr="00563196">
        <w:rPr>
          <w:rFonts w:ascii="Times New Roman" w:hAnsi="Times New Roman"/>
        </w:rPr>
        <w:t xml:space="preserve">  </w:t>
      </w:r>
      <w:hyperlink r:id="rId1" w:history="1">
        <w:r w:rsidRPr="00563196">
          <w:rPr>
            <w:rStyle w:val="Hyperlink"/>
            <w:rFonts w:ascii="Times New Roman" w:hAnsi="Times New Roman"/>
          </w:rPr>
          <w:t>https://deq.utah.gov/ProgramsServices/programs/water/groundwater/docs/2008/08Aug/GWQP_PermitInfo.pdf</w:t>
        </w:r>
      </w:hyperlink>
    </w:p>
  </w:footnote>
  <w:footnote w:id="3">
    <w:p w:rsidR="00B717B4" w:rsidRPr="00563196" w:rsidRDefault="00B717B4" w:rsidP="00B717B4">
      <w:pPr>
        <w:pStyle w:val="FootnoteText"/>
        <w:jc w:val="left"/>
        <w:rPr>
          <w:rFonts w:ascii="Times New Roman" w:hAnsi="Times New Roman"/>
        </w:rPr>
      </w:pPr>
      <w:r w:rsidRPr="00563196">
        <w:rPr>
          <w:rStyle w:val="FootnoteReference"/>
          <w:rFonts w:ascii="Times New Roman" w:hAnsi="Times New Roman"/>
        </w:rPr>
        <w:footnoteRef/>
      </w:r>
      <w:r w:rsidRPr="00563196">
        <w:rPr>
          <w:rFonts w:ascii="Times New Roman" w:hAnsi="Times New Roman"/>
        </w:rPr>
        <w:t xml:space="preserve"> Utah Admin Code Rule 317-6-6.1A  </w:t>
      </w:r>
    </w:p>
  </w:footnote>
  <w:footnote w:id="4">
    <w:p w:rsidR="00B717B4" w:rsidRPr="00563196" w:rsidRDefault="00B717B4" w:rsidP="00B717B4">
      <w:pPr>
        <w:pStyle w:val="FootnoteText"/>
        <w:jc w:val="left"/>
        <w:rPr>
          <w:rFonts w:ascii="Times New Roman" w:hAnsi="Times New Roman"/>
        </w:rPr>
      </w:pPr>
      <w:r w:rsidRPr="00563196">
        <w:rPr>
          <w:rStyle w:val="FootnoteReference"/>
          <w:rFonts w:ascii="Times New Roman" w:hAnsi="Times New Roman"/>
        </w:rPr>
        <w:footnoteRef/>
      </w:r>
      <w:r w:rsidRPr="00563196">
        <w:rPr>
          <w:rFonts w:ascii="Times New Roman" w:hAnsi="Times New Roman"/>
        </w:rPr>
        <w:t xml:space="preserve"> Preamble to the Ground Water Quality Protection Regulations of the State of Utah, sec. 2.1, August, 1989</w:t>
      </w:r>
    </w:p>
  </w:footnote>
  <w:footnote w:id="5">
    <w:p w:rsidR="00B717B4" w:rsidRPr="00563196" w:rsidRDefault="00B717B4" w:rsidP="00B717B4">
      <w:pPr>
        <w:pStyle w:val="FootnoteText"/>
        <w:jc w:val="left"/>
        <w:rPr>
          <w:rFonts w:ascii="Times New Roman" w:hAnsi="Times New Roman"/>
        </w:rPr>
      </w:pPr>
      <w:r w:rsidRPr="00563196">
        <w:rPr>
          <w:rStyle w:val="FootnoteReference"/>
          <w:rFonts w:ascii="Times New Roman" w:hAnsi="Times New Roman"/>
        </w:rPr>
        <w:footnoteRef/>
      </w:r>
      <w:r w:rsidRPr="00563196">
        <w:rPr>
          <w:rFonts w:ascii="Times New Roman" w:hAnsi="Times New Roman"/>
        </w:rPr>
        <w:t xml:space="preserve"> Utah Admin. Code Rule 317-6-3</w:t>
      </w:r>
    </w:p>
  </w:footnote>
  <w:footnote w:id="6">
    <w:p w:rsidR="00B717B4" w:rsidRPr="00563196" w:rsidRDefault="00B717B4" w:rsidP="00B717B4">
      <w:pPr>
        <w:pStyle w:val="FootnoteText"/>
        <w:jc w:val="left"/>
        <w:rPr>
          <w:rFonts w:ascii="Times New Roman" w:hAnsi="Times New Roman"/>
        </w:rPr>
      </w:pPr>
      <w:r w:rsidRPr="00563196">
        <w:rPr>
          <w:rStyle w:val="FootnoteReference"/>
          <w:rFonts w:ascii="Times New Roman" w:hAnsi="Times New Roman"/>
        </w:rPr>
        <w:footnoteRef/>
      </w:r>
      <w:r w:rsidRPr="00563196">
        <w:rPr>
          <w:rFonts w:ascii="Times New Roman" w:hAnsi="Times New Roman"/>
        </w:rPr>
        <w:t xml:space="preserve"> Utah Admin. Code Rule 317-6-4</w:t>
      </w:r>
    </w:p>
  </w:footnote>
  <w:footnote w:id="7">
    <w:p w:rsidR="00B717B4" w:rsidRPr="00563196" w:rsidRDefault="00B717B4" w:rsidP="00B717B4">
      <w:pPr>
        <w:pStyle w:val="FootnoteText"/>
        <w:jc w:val="left"/>
        <w:rPr>
          <w:rFonts w:ascii="Times New Roman" w:hAnsi="Times New Roman"/>
        </w:rPr>
      </w:pPr>
      <w:r w:rsidRPr="00563196">
        <w:rPr>
          <w:rStyle w:val="FootnoteReference"/>
          <w:rFonts w:ascii="Times New Roman" w:hAnsi="Times New Roman"/>
        </w:rPr>
        <w:footnoteRef/>
      </w:r>
      <w:r w:rsidRPr="00563196">
        <w:rPr>
          <w:rFonts w:ascii="Times New Roman" w:hAnsi="Times New Roman"/>
        </w:rPr>
        <w:t xml:space="preserve"> Utah Admin. Code Rule 317-6-1(1.3)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C0" w:rsidRDefault="002861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C0" w:rsidRDefault="002861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BB4"/>
    <w:multiLevelType w:val="hybridMultilevel"/>
    <w:tmpl w:val="F2C88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13BF9"/>
    <w:multiLevelType w:val="hybridMultilevel"/>
    <w:tmpl w:val="048812C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71FDE"/>
    <w:multiLevelType w:val="hybridMultilevel"/>
    <w:tmpl w:val="AF18A540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C3223"/>
    <w:multiLevelType w:val="hybridMultilevel"/>
    <w:tmpl w:val="6A825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2F1899"/>
    <w:multiLevelType w:val="hybridMultilevel"/>
    <w:tmpl w:val="EC46C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D97681"/>
    <w:multiLevelType w:val="hybridMultilevel"/>
    <w:tmpl w:val="7D0CB570"/>
    <w:lvl w:ilvl="0" w:tplc="A83EFECC">
      <w:start w:val="4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66CD1561"/>
    <w:multiLevelType w:val="hybridMultilevel"/>
    <w:tmpl w:val="9626B8E8"/>
    <w:lvl w:ilvl="0" w:tplc="0409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7">
    <w:nsid w:val="6FC10A7D"/>
    <w:multiLevelType w:val="hybridMultilevel"/>
    <w:tmpl w:val="3BD49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CC0405"/>
    <w:multiLevelType w:val="hybridMultilevel"/>
    <w:tmpl w:val="3FEA4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B39B1"/>
    <w:multiLevelType w:val="hybridMultilevel"/>
    <w:tmpl w:val="96F23674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0E1F73"/>
    <w:multiLevelType w:val="hybridMultilevel"/>
    <w:tmpl w:val="F914116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bb, Jim">
    <w15:presenceInfo w15:providerId="AD" w15:userId="S-1-5-21-1085031214-515967899-839522115-22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71"/>
    <w:rsid w:val="00002191"/>
    <w:rsid w:val="00004A13"/>
    <w:rsid w:val="00012DA9"/>
    <w:rsid w:val="00015441"/>
    <w:rsid w:val="00022D76"/>
    <w:rsid w:val="0003041B"/>
    <w:rsid w:val="00040B7E"/>
    <w:rsid w:val="00046453"/>
    <w:rsid w:val="00050DB0"/>
    <w:rsid w:val="0005601E"/>
    <w:rsid w:val="00060B93"/>
    <w:rsid w:val="000638D3"/>
    <w:rsid w:val="000747ED"/>
    <w:rsid w:val="00077D24"/>
    <w:rsid w:val="000A0E60"/>
    <w:rsid w:val="000A3D53"/>
    <w:rsid w:val="000A454E"/>
    <w:rsid w:val="000A5701"/>
    <w:rsid w:val="000B20B2"/>
    <w:rsid w:val="000B38BA"/>
    <w:rsid w:val="000B5722"/>
    <w:rsid w:val="000D2CC3"/>
    <w:rsid w:val="000E0897"/>
    <w:rsid w:val="000E6FB5"/>
    <w:rsid w:val="000F2DDB"/>
    <w:rsid w:val="000F61E4"/>
    <w:rsid w:val="00105218"/>
    <w:rsid w:val="00124A86"/>
    <w:rsid w:val="001472AF"/>
    <w:rsid w:val="00152402"/>
    <w:rsid w:val="00162C01"/>
    <w:rsid w:val="00176935"/>
    <w:rsid w:val="00181F06"/>
    <w:rsid w:val="001B325C"/>
    <w:rsid w:val="001B7ACA"/>
    <w:rsid w:val="001D437A"/>
    <w:rsid w:val="001F5C20"/>
    <w:rsid w:val="001F6A0B"/>
    <w:rsid w:val="00200B6E"/>
    <w:rsid w:val="0020413D"/>
    <w:rsid w:val="00280D12"/>
    <w:rsid w:val="00282141"/>
    <w:rsid w:val="00283EB0"/>
    <w:rsid w:val="002852EA"/>
    <w:rsid w:val="002861C0"/>
    <w:rsid w:val="002872EA"/>
    <w:rsid w:val="002B2731"/>
    <w:rsid w:val="002D0CB7"/>
    <w:rsid w:val="002E1809"/>
    <w:rsid w:val="002E6282"/>
    <w:rsid w:val="002E638B"/>
    <w:rsid w:val="002F196C"/>
    <w:rsid w:val="002F4A7B"/>
    <w:rsid w:val="002F73ED"/>
    <w:rsid w:val="003024E6"/>
    <w:rsid w:val="00315400"/>
    <w:rsid w:val="00320ADF"/>
    <w:rsid w:val="00320B02"/>
    <w:rsid w:val="00324C07"/>
    <w:rsid w:val="0034258D"/>
    <w:rsid w:val="00343DFE"/>
    <w:rsid w:val="003557D6"/>
    <w:rsid w:val="00365B7A"/>
    <w:rsid w:val="00372067"/>
    <w:rsid w:val="0037706F"/>
    <w:rsid w:val="00391341"/>
    <w:rsid w:val="003B60B5"/>
    <w:rsid w:val="003C1CE5"/>
    <w:rsid w:val="0041248D"/>
    <w:rsid w:val="004166A0"/>
    <w:rsid w:val="00426004"/>
    <w:rsid w:val="00447F8D"/>
    <w:rsid w:val="00452B7B"/>
    <w:rsid w:val="00454F2F"/>
    <w:rsid w:val="004565E0"/>
    <w:rsid w:val="00457863"/>
    <w:rsid w:val="0046020E"/>
    <w:rsid w:val="00470C55"/>
    <w:rsid w:val="00473F06"/>
    <w:rsid w:val="0048419F"/>
    <w:rsid w:val="00493077"/>
    <w:rsid w:val="00493564"/>
    <w:rsid w:val="004A5D85"/>
    <w:rsid w:val="004C209B"/>
    <w:rsid w:val="004D16C3"/>
    <w:rsid w:val="004E06F7"/>
    <w:rsid w:val="005021CC"/>
    <w:rsid w:val="005038BD"/>
    <w:rsid w:val="00521DF9"/>
    <w:rsid w:val="0052789F"/>
    <w:rsid w:val="005340AF"/>
    <w:rsid w:val="00535E65"/>
    <w:rsid w:val="00540E55"/>
    <w:rsid w:val="00567BA1"/>
    <w:rsid w:val="00571E1B"/>
    <w:rsid w:val="0057278E"/>
    <w:rsid w:val="00584476"/>
    <w:rsid w:val="0059068C"/>
    <w:rsid w:val="005A1CBA"/>
    <w:rsid w:val="005A650A"/>
    <w:rsid w:val="005B317F"/>
    <w:rsid w:val="005D161B"/>
    <w:rsid w:val="005E116E"/>
    <w:rsid w:val="005E76CA"/>
    <w:rsid w:val="005F5364"/>
    <w:rsid w:val="006010FC"/>
    <w:rsid w:val="00616E3D"/>
    <w:rsid w:val="00621B8D"/>
    <w:rsid w:val="00631927"/>
    <w:rsid w:val="00642D07"/>
    <w:rsid w:val="00661F34"/>
    <w:rsid w:val="00665436"/>
    <w:rsid w:val="006738AF"/>
    <w:rsid w:val="00691D1F"/>
    <w:rsid w:val="006A0BA9"/>
    <w:rsid w:val="006A4E3C"/>
    <w:rsid w:val="006B2655"/>
    <w:rsid w:val="006B266A"/>
    <w:rsid w:val="006C4F88"/>
    <w:rsid w:val="0070010B"/>
    <w:rsid w:val="00710DDB"/>
    <w:rsid w:val="00716052"/>
    <w:rsid w:val="00725530"/>
    <w:rsid w:val="00756443"/>
    <w:rsid w:val="0078632E"/>
    <w:rsid w:val="0079191F"/>
    <w:rsid w:val="00793245"/>
    <w:rsid w:val="007B3846"/>
    <w:rsid w:val="007D2880"/>
    <w:rsid w:val="007D777F"/>
    <w:rsid w:val="00822C42"/>
    <w:rsid w:val="00825F04"/>
    <w:rsid w:val="00842D9B"/>
    <w:rsid w:val="00845FF2"/>
    <w:rsid w:val="00872E13"/>
    <w:rsid w:val="00872FB5"/>
    <w:rsid w:val="00873171"/>
    <w:rsid w:val="00877F1F"/>
    <w:rsid w:val="00887D6D"/>
    <w:rsid w:val="0089382A"/>
    <w:rsid w:val="008B1421"/>
    <w:rsid w:val="008B2855"/>
    <w:rsid w:val="008D5186"/>
    <w:rsid w:val="008E62F9"/>
    <w:rsid w:val="008F3022"/>
    <w:rsid w:val="008F4E5C"/>
    <w:rsid w:val="00915045"/>
    <w:rsid w:val="00922265"/>
    <w:rsid w:val="009325A6"/>
    <w:rsid w:val="009440D4"/>
    <w:rsid w:val="0095147E"/>
    <w:rsid w:val="0096282B"/>
    <w:rsid w:val="0096509A"/>
    <w:rsid w:val="00965B21"/>
    <w:rsid w:val="00965DD4"/>
    <w:rsid w:val="0097030D"/>
    <w:rsid w:val="00992FFD"/>
    <w:rsid w:val="009A4297"/>
    <w:rsid w:val="009A4C5E"/>
    <w:rsid w:val="009B2EF1"/>
    <w:rsid w:val="009B7D9D"/>
    <w:rsid w:val="009D1693"/>
    <w:rsid w:val="009D7531"/>
    <w:rsid w:val="009E2492"/>
    <w:rsid w:val="00A20AB9"/>
    <w:rsid w:val="00A23AF6"/>
    <w:rsid w:val="00A35FAF"/>
    <w:rsid w:val="00A4066D"/>
    <w:rsid w:val="00A66409"/>
    <w:rsid w:val="00A66D82"/>
    <w:rsid w:val="00A77085"/>
    <w:rsid w:val="00AA368C"/>
    <w:rsid w:val="00AA523D"/>
    <w:rsid w:val="00AB23A6"/>
    <w:rsid w:val="00AC5A7A"/>
    <w:rsid w:val="00AC6B0F"/>
    <w:rsid w:val="00AE0A12"/>
    <w:rsid w:val="00B02DED"/>
    <w:rsid w:val="00B1334C"/>
    <w:rsid w:val="00B170B3"/>
    <w:rsid w:val="00B2487C"/>
    <w:rsid w:val="00B30D0E"/>
    <w:rsid w:val="00B31B5E"/>
    <w:rsid w:val="00B4735B"/>
    <w:rsid w:val="00B7007C"/>
    <w:rsid w:val="00B717B4"/>
    <w:rsid w:val="00B7547C"/>
    <w:rsid w:val="00B83E25"/>
    <w:rsid w:val="00B8425E"/>
    <w:rsid w:val="00BA6762"/>
    <w:rsid w:val="00BB01A2"/>
    <w:rsid w:val="00BC6FFE"/>
    <w:rsid w:val="00C02D08"/>
    <w:rsid w:val="00C04E70"/>
    <w:rsid w:val="00C519AA"/>
    <w:rsid w:val="00C66986"/>
    <w:rsid w:val="00C7161E"/>
    <w:rsid w:val="00C7321C"/>
    <w:rsid w:val="00C75768"/>
    <w:rsid w:val="00C80727"/>
    <w:rsid w:val="00CE109A"/>
    <w:rsid w:val="00CF2DBF"/>
    <w:rsid w:val="00CF45E0"/>
    <w:rsid w:val="00D20964"/>
    <w:rsid w:val="00D26336"/>
    <w:rsid w:val="00D328B7"/>
    <w:rsid w:val="00D4022D"/>
    <w:rsid w:val="00D409AC"/>
    <w:rsid w:val="00D44B92"/>
    <w:rsid w:val="00D52299"/>
    <w:rsid w:val="00D57E18"/>
    <w:rsid w:val="00D61E4E"/>
    <w:rsid w:val="00D74271"/>
    <w:rsid w:val="00D750BA"/>
    <w:rsid w:val="00D82F3E"/>
    <w:rsid w:val="00D9227F"/>
    <w:rsid w:val="00D93625"/>
    <w:rsid w:val="00DA000D"/>
    <w:rsid w:val="00DA1CCC"/>
    <w:rsid w:val="00DA2497"/>
    <w:rsid w:val="00DC4A03"/>
    <w:rsid w:val="00DD0129"/>
    <w:rsid w:val="00DD111F"/>
    <w:rsid w:val="00DD207B"/>
    <w:rsid w:val="00DF770B"/>
    <w:rsid w:val="00E030AC"/>
    <w:rsid w:val="00E14158"/>
    <w:rsid w:val="00E312DF"/>
    <w:rsid w:val="00E378D4"/>
    <w:rsid w:val="00E51ECC"/>
    <w:rsid w:val="00E766C2"/>
    <w:rsid w:val="00ED1FFF"/>
    <w:rsid w:val="00ED7934"/>
    <w:rsid w:val="00EE3858"/>
    <w:rsid w:val="00EF2F6E"/>
    <w:rsid w:val="00EF5EDD"/>
    <w:rsid w:val="00F06615"/>
    <w:rsid w:val="00F06FE7"/>
    <w:rsid w:val="00F11D5D"/>
    <w:rsid w:val="00F14062"/>
    <w:rsid w:val="00F17783"/>
    <w:rsid w:val="00F314A0"/>
    <w:rsid w:val="00F641AB"/>
    <w:rsid w:val="00F77B6B"/>
    <w:rsid w:val="00F87BD6"/>
    <w:rsid w:val="00F9567F"/>
    <w:rsid w:val="00FA478B"/>
    <w:rsid w:val="00FB56D8"/>
    <w:rsid w:val="00FC20FB"/>
    <w:rsid w:val="00FC3AD2"/>
    <w:rsid w:val="00FC7B10"/>
    <w:rsid w:val="00FD227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1F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65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65E0"/>
    <w:pPr>
      <w:tabs>
        <w:tab w:val="center" w:pos="4320"/>
        <w:tab w:val="right" w:pos="8640"/>
      </w:tabs>
    </w:pPr>
  </w:style>
  <w:style w:type="paragraph" w:customStyle="1" w:styleId="subsection">
    <w:name w:val="subsection"/>
    <w:basedOn w:val="Normal"/>
    <w:rsid w:val="00DA1CCC"/>
    <w:pPr>
      <w:widowControl/>
      <w:autoSpaceDE/>
      <w:autoSpaceDN/>
      <w:adjustRightInd/>
      <w:spacing w:before="180" w:after="180"/>
      <w:ind w:left="180" w:right="180" w:firstLine="360"/>
    </w:pPr>
    <w:rPr>
      <w:rFonts w:ascii="Georgia" w:hAnsi="Georgia" w:cs="Arial"/>
      <w:color w:val="333333"/>
      <w:sz w:val="18"/>
      <w:szCs w:val="18"/>
    </w:rPr>
  </w:style>
  <w:style w:type="character" w:styleId="PageNumber">
    <w:name w:val="page number"/>
    <w:basedOn w:val="DefaultParagraphFont"/>
    <w:rsid w:val="00162C01"/>
  </w:style>
  <w:style w:type="character" w:customStyle="1" w:styleId="FooterChar">
    <w:name w:val="Footer Char"/>
    <w:link w:val="Footer"/>
    <w:uiPriority w:val="99"/>
    <w:rsid w:val="0020413D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3557D6"/>
    <w:pPr>
      <w:ind w:left="720"/>
      <w:contextualSpacing/>
    </w:pPr>
  </w:style>
  <w:style w:type="character" w:styleId="Hyperlink">
    <w:name w:val="Hyperlink"/>
    <w:rsid w:val="00B717B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B717B4"/>
    <w:pPr>
      <w:widowControl/>
      <w:autoSpaceDE/>
      <w:autoSpaceDN/>
      <w:adjustRightInd/>
      <w:jc w:val="center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17B4"/>
    <w:rPr>
      <w:rFonts w:ascii="Calibri" w:eastAsia="Calibri" w:hAnsi="Calibri"/>
    </w:rPr>
  </w:style>
  <w:style w:type="character" w:styleId="FootnoteReference">
    <w:name w:val="footnote reference"/>
    <w:uiPriority w:val="99"/>
    <w:rsid w:val="00B717B4"/>
    <w:rPr>
      <w:rFonts w:cs="Times New Roman"/>
      <w:vertAlign w:val="superscript"/>
    </w:rPr>
  </w:style>
  <w:style w:type="character" w:customStyle="1" w:styleId="HeaderChar">
    <w:name w:val="Header Char"/>
    <w:link w:val="Header"/>
    <w:rsid w:val="00CF2DBF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1F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65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65E0"/>
    <w:pPr>
      <w:tabs>
        <w:tab w:val="center" w:pos="4320"/>
        <w:tab w:val="right" w:pos="8640"/>
      </w:tabs>
    </w:pPr>
  </w:style>
  <w:style w:type="paragraph" w:customStyle="1" w:styleId="subsection">
    <w:name w:val="subsection"/>
    <w:basedOn w:val="Normal"/>
    <w:rsid w:val="00DA1CCC"/>
    <w:pPr>
      <w:widowControl/>
      <w:autoSpaceDE/>
      <w:autoSpaceDN/>
      <w:adjustRightInd/>
      <w:spacing w:before="180" w:after="180"/>
      <w:ind w:left="180" w:right="180" w:firstLine="360"/>
    </w:pPr>
    <w:rPr>
      <w:rFonts w:ascii="Georgia" w:hAnsi="Georgia" w:cs="Arial"/>
      <w:color w:val="333333"/>
      <w:sz w:val="18"/>
      <w:szCs w:val="18"/>
    </w:rPr>
  </w:style>
  <w:style w:type="character" w:styleId="PageNumber">
    <w:name w:val="page number"/>
    <w:basedOn w:val="DefaultParagraphFont"/>
    <w:rsid w:val="00162C01"/>
  </w:style>
  <w:style w:type="character" w:customStyle="1" w:styleId="FooterChar">
    <w:name w:val="Footer Char"/>
    <w:link w:val="Footer"/>
    <w:uiPriority w:val="99"/>
    <w:rsid w:val="0020413D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3557D6"/>
    <w:pPr>
      <w:ind w:left="720"/>
      <w:contextualSpacing/>
    </w:pPr>
  </w:style>
  <w:style w:type="character" w:styleId="Hyperlink">
    <w:name w:val="Hyperlink"/>
    <w:rsid w:val="00B717B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B717B4"/>
    <w:pPr>
      <w:widowControl/>
      <w:autoSpaceDE/>
      <w:autoSpaceDN/>
      <w:adjustRightInd/>
      <w:jc w:val="center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17B4"/>
    <w:rPr>
      <w:rFonts w:ascii="Calibri" w:eastAsia="Calibri" w:hAnsi="Calibri"/>
    </w:rPr>
  </w:style>
  <w:style w:type="character" w:styleId="FootnoteReference">
    <w:name w:val="footnote reference"/>
    <w:uiPriority w:val="99"/>
    <w:rsid w:val="00B717B4"/>
    <w:rPr>
      <w:rFonts w:cs="Times New Roman"/>
      <w:vertAlign w:val="superscript"/>
    </w:rPr>
  </w:style>
  <w:style w:type="character" w:customStyle="1" w:styleId="HeaderChar">
    <w:name w:val="Header Char"/>
    <w:link w:val="Header"/>
    <w:rsid w:val="00CF2DB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0430">
      <w:bodyDiv w:val="1"/>
      <w:marLeft w:val="75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q.utah.gov/ProgramsServices/programs/water/groundwater/docs/2008/08Aug/GWQP_PermitInf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8DCF-D35F-4E91-B997-41F536A8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WATER QUALITY DISCHARGE PERMIT</vt:lpstr>
    </vt:vector>
  </TitlesOfParts>
  <Company>State of Utah DEQ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WATER QUALITY DISCHARGE PERMIT</dc:title>
  <dc:creator>Utah Division of Water Quality</dc:creator>
  <cp:lastModifiedBy>Reviewer 3</cp:lastModifiedBy>
  <cp:revision>2</cp:revision>
  <dcterms:created xsi:type="dcterms:W3CDTF">2018-03-08T19:23:00Z</dcterms:created>
  <dcterms:modified xsi:type="dcterms:W3CDTF">2018-03-08T19:23:00Z</dcterms:modified>
</cp:coreProperties>
</file>